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olor w:val="BE1E2D" w:themeColor="text2"/>
          <w:sz w:val="26"/>
          <w:szCs w:val="26"/>
        </w:rPr>
        <w:id w:val="632137432"/>
        <w:docPartObj>
          <w:docPartGallery w:val="Cover Pages"/>
          <w:docPartUnique/>
        </w:docPartObj>
      </w:sdtPr>
      <w:sdtEndPr>
        <w:rPr>
          <w:rFonts w:asciiTheme="minorHAnsi" w:eastAsiaTheme="minorEastAsia" w:hAnsiTheme="minorHAnsi" w:cstheme="minorBidi"/>
          <w:color w:val="auto"/>
          <w:sz w:val="22"/>
          <w:szCs w:val="22"/>
        </w:rPr>
      </w:sdtEndPr>
      <w:sdtContent>
        <w:p w14:paraId="5E295CC4" w14:textId="77777777" w:rsidR="00E7407C" w:rsidRPr="00607C6A" w:rsidRDefault="00E7407C" w:rsidP="00E7407C"/>
        <w:p w14:paraId="73D8BF1D" w14:textId="77777777" w:rsidR="00E7407C" w:rsidRDefault="00E7407C" w:rsidP="00E7407C">
          <w:pPr>
            <w:spacing w:before="360"/>
            <w:jc w:val="right"/>
            <w:rPr>
              <w:rStyle w:val="TitleChar"/>
            </w:rPr>
          </w:pPr>
          <w:r>
            <w:rPr>
              <w:noProof/>
            </w:rPr>
            <w:drawing>
              <wp:inline distT="0" distB="0" distL="0" distR="0" wp14:anchorId="40ED092C" wp14:editId="6085B878">
                <wp:extent cx="3657600" cy="1052731"/>
                <wp:effectExtent l="0" t="0" r="0" b="0"/>
                <wp:docPr id="47699570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7600" cy="1052731"/>
                        </a:xfrm>
                        <a:prstGeom prst="rect">
                          <a:avLst/>
                        </a:prstGeom>
                      </pic:spPr>
                    </pic:pic>
                  </a:graphicData>
                </a:graphic>
              </wp:inline>
            </w:drawing>
          </w:r>
        </w:p>
        <w:p w14:paraId="5D28BBA9" w14:textId="77777777" w:rsidR="00E7407C" w:rsidRDefault="00E7407C" w:rsidP="00E7407C">
          <w:pPr>
            <w:pStyle w:val="Title"/>
            <w:jc w:val="right"/>
            <w:rPr>
              <w:sz w:val="64"/>
              <w:szCs w:val="64"/>
            </w:rPr>
          </w:pPr>
        </w:p>
        <w:p w14:paraId="7EB4339C" w14:textId="77777777" w:rsidR="00E7407C" w:rsidRPr="00554C89" w:rsidRDefault="00E7407C" w:rsidP="00E7407C">
          <w:pPr>
            <w:pStyle w:val="Title"/>
            <w:jc w:val="right"/>
            <w:rPr>
              <w:sz w:val="48"/>
              <w:szCs w:val="48"/>
            </w:rPr>
          </w:pPr>
          <w:r w:rsidRPr="00554C89">
            <w:rPr>
              <w:sz w:val="48"/>
              <w:szCs w:val="48"/>
            </w:rPr>
            <w:t xml:space="preserve">A Pandemic Response and </w:t>
          </w:r>
          <w:r>
            <w:rPr>
              <w:sz w:val="48"/>
              <w:szCs w:val="48"/>
            </w:rPr>
            <w:br/>
          </w:r>
          <w:r w:rsidRPr="00554C89">
            <w:rPr>
              <w:sz w:val="48"/>
              <w:szCs w:val="48"/>
            </w:rPr>
            <w:t xml:space="preserve">Recovery Toolkit for Homeless </w:t>
          </w:r>
          <w:r w:rsidRPr="00554C89">
            <w:rPr>
              <w:sz w:val="48"/>
              <w:szCs w:val="48"/>
            </w:rPr>
            <w:br/>
            <w:t>System Leaders in Canada</w:t>
          </w:r>
        </w:p>
        <w:p w14:paraId="622CD31E" w14:textId="77777777" w:rsidR="00E7407C" w:rsidRDefault="00E7407C" w:rsidP="00E7407C">
          <w:pPr>
            <w:jc w:val="right"/>
          </w:pPr>
        </w:p>
        <w:p w14:paraId="6CAC1204" w14:textId="7653D4AC" w:rsidR="00E7407C" w:rsidRPr="00554C89" w:rsidRDefault="00E7407C" w:rsidP="00E7407C">
          <w:pPr>
            <w:pStyle w:val="Title"/>
            <w:spacing w:before="0" w:line="247" w:lineRule="auto"/>
            <w:jc w:val="right"/>
            <w:rPr>
              <w:color w:val="BE1E2D" w:themeColor="text2"/>
              <w:sz w:val="56"/>
              <w:szCs w:val="56"/>
            </w:rPr>
          </w:pPr>
          <w:r w:rsidRPr="00554C89">
            <w:rPr>
              <w:color w:val="BE1E2D" w:themeColor="text2"/>
              <w:sz w:val="56"/>
              <w:szCs w:val="56"/>
            </w:rPr>
            <w:t>Appendix A-</w:t>
          </w:r>
          <w:r>
            <w:rPr>
              <w:color w:val="BE1E2D" w:themeColor="text2"/>
              <w:sz w:val="56"/>
              <w:szCs w:val="56"/>
            </w:rPr>
            <w:t>6</w:t>
          </w:r>
          <w:r w:rsidRPr="00554C89">
            <w:rPr>
              <w:color w:val="BE1E2D" w:themeColor="text2"/>
              <w:sz w:val="56"/>
              <w:szCs w:val="56"/>
            </w:rPr>
            <w:t>.</w:t>
          </w:r>
        </w:p>
        <w:p w14:paraId="3ECECEBE" w14:textId="718A0850" w:rsidR="00E7407C" w:rsidRDefault="00E7407C" w:rsidP="00E7407C">
          <w:pPr>
            <w:jc w:val="right"/>
            <w:rPr>
              <w:noProof/>
              <w:color w:val="BE1E2D" w:themeColor="text2"/>
              <w:sz w:val="56"/>
              <w:szCs w:val="56"/>
            </w:rPr>
          </w:pPr>
          <w:r w:rsidRPr="00E7407C">
            <w:rPr>
              <w:noProof/>
              <w:color w:val="BE1E2D" w:themeColor="text2"/>
              <w:sz w:val="56"/>
              <w:szCs w:val="56"/>
            </w:rPr>
            <w:t xml:space="preserve">Framework Summary Table: </w:t>
          </w:r>
          <w:r>
            <w:rPr>
              <w:noProof/>
              <w:color w:val="BE1E2D" w:themeColor="text2"/>
              <w:sz w:val="56"/>
              <w:szCs w:val="56"/>
            </w:rPr>
            <w:br/>
          </w:r>
          <w:r w:rsidRPr="00E7407C">
            <w:rPr>
              <w:noProof/>
              <w:color w:val="BE1E2D" w:themeColor="text2"/>
              <w:sz w:val="56"/>
              <w:szCs w:val="56"/>
            </w:rPr>
            <w:t>Focus Areas by Activity Timeframe</w:t>
          </w:r>
        </w:p>
        <w:p w14:paraId="576DD36E" w14:textId="77777777" w:rsidR="00E7407C" w:rsidRDefault="00E7407C" w:rsidP="00E7407C">
          <w:pPr>
            <w:jc w:val="right"/>
          </w:pPr>
        </w:p>
        <w:p w14:paraId="1EDE1383" w14:textId="77777777" w:rsidR="00E7407C" w:rsidRDefault="00E7407C" w:rsidP="00E7407C">
          <w:pPr>
            <w:tabs>
              <w:tab w:val="left" w:pos="1800"/>
            </w:tabs>
            <w:jc w:val="right"/>
          </w:pPr>
          <w:r>
            <w:rPr>
              <w:rStyle w:val="SubtitleChar"/>
              <w:color w:val="555A51" w:themeColor="background2" w:themeShade="80"/>
              <w:sz w:val="22"/>
              <w:szCs w:val="22"/>
            </w:rPr>
            <w:tab/>
          </w:r>
          <w:bookmarkStart w:id="0" w:name="_Toc42598093"/>
          <w:bookmarkStart w:id="1" w:name="_Toc42612886"/>
          <w:r>
            <w:rPr>
              <w:rStyle w:val="SubtitleChar"/>
              <w:color w:val="555A51" w:themeColor="background2" w:themeShade="80"/>
              <w:sz w:val="22"/>
              <w:szCs w:val="22"/>
            </w:rPr>
            <w:t>Prepared</w:t>
          </w:r>
          <w:r w:rsidRPr="008060D4">
            <w:rPr>
              <w:rStyle w:val="SubtitleChar"/>
              <w:color w:val="555A51" w:themeColor="background2" w:themeShade="80"/>
              <w:sz w:val="22"/>
              <w:szCs w:val="22"/>
            </w:rPr>
            <w:t xml:space="preserve"> by: </w:t>
          </w:r>
          <w:proofErr w:type="spellStart"/>
          <w:r>
            <w:rPr>
              <w:rStyle w:val="SubtitleChar"/>
              <w:b/>
              <w:bCs/>
              <w:color w:val="555A51" w:themeColor="background2" w:themeShade="80"/>
              <w:sz w:val="22"/>
              <w:szCs w:val="22"/>
            </w:rPr>
            <w:t>OrgCode</w:t>
          </w:r>
          <w:proofErr w:type="spellEnd"/>
          <w:r>
            <w:rPr>
              <w:rStyle w:val="SubtitleChar"/>
              <w:b/>
              <w:bCs/>
              <w:color w:val="555A51" w:themeColor="background2" w:themeShade="80"/>
              <w:sz w:val="22"/>
              <w:szCs w:val="22"/>
            </w:rPr>
            <w:t xml:space="preserve"> Consulting, Inc.</w:t>
          </w:r>
          <w:bookmarkEnd w:id="0"/>
          <w:bookmarkEnd w:id="1"/>
          <w:r w:rsidRPr="00B56E28">
            <w:rPr>
              <w:rFonts w:ascii="Lucida Sans" w:hAnsi="Lucida Sans"/>
              <w:noProof/>
            </w:rPr>
            <w:t xml:space="preserve"> </w:t>
          </w:r>
        </w:p>
        <w:p w14:paraId="489F3CD1" w14:textId="77777777" w:rsidR="00E7407C" w:rsidRDefault="00E7407C" w:rsidP="00E7407C">
          <w:pPr>
            <w:jc w:val="both"/>
          </w:pPr>
          <w:r w:rsidRPr="009E0F72">
            <w:rPr>
              <w:rFonts w:ascii="Lucida Sans" w:hAnsi="Lucida Sans"/>
              <w:noProof/>
            </w:rPr>
            <w:drawing>
              <wp:anchor distT="0" distB="0" distL="114300" distR="114300" simplePos="0" relativeHeight="251659264" behindDoc="0" locked="0" layoutInCell="1" allowOverlap="1" wp14:anchorId="0502CB7C" wp14:editId="5744F923">
                <wp:simplePos x="0" y="0"/>
                <wp:positionH relativeFrom="margin">
                  <wp:posOffset>4592320</wp:posOffset>
                </wp:positionH>
                <wp:positionV relativeFrom="paragraph">
                  <wp:posOffset>28880</wp:posOffset>
                </wp:positionV>
                <wp:extent cx="981710" cy="1036955"/>
                <wp:effectExtent l="0" t="0" r="8890" b="0"/>
                <wp:wrapNone/>
                <wp:docPr id="8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 name="Image" descr="Imag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81710" cy="1036955"/>
                        </a:xfrm>
                        <a:prstGeom prst="rect">
                          <a:avLst/>
                        </a:prstGeom>
                        <a:ln w="12700">
                          <a:miter lim="400000"/>
                        </a:ln>
                      </pic:spPr>
                    </pic:pic>
                  </a:graphicData>
                </a:graphic>
                <wp14:sizeRelH relativeFrom="page">
                  <wp14:pctWidth>0</wp14:pctWidth>
                </wp14:sizeRelH>
                <wp14:sizeRelV relativeFrom="page">
                  <wp14:pctHeight>0</wp14:pctHeight>
                </wp14:sizeRelV>
              </wp:anchor>
            </w:drawing>
          </w:r>
        </w:p>
        <w:p w14:paraId="1FECE88F" w14:textId="77777777" w:rsidR="00E7407C" w:rsidRDefault="00E7407C" w:rsidP="00E7407C">
          <w:pPr>
            <w:pStyle w:val="NoSpacing"/>
          </w:pPr>
        </w:p>
        <w:p w14:paraId="5EA26620" w14:textId="77777777" w:rsidR="00E7407C" w:rsidRDefault="00E7407C" w:rsidP="00E7407C">
          <w:pPr>
            <w:pStyle w:val="NoSpacing"/>
          </w:pPr>
        </w:p>
        <w:p w14:paraId="1734D1F6" w14:textId="2B55123B" w:rsidR="00E7407C" w:rsidRDefault="00E7407C" w:rsidP="00E7407C">
          <w:pPr>
            <w:pStyle w:val="NoSpacing"/>
          </w:pPr>
        </w:p>
        <w:p w14:paraId="79A93127" w14:textId="77777777" w:rsidR="00E7407C" w:rsidRDefault="00E7407C" w:rsidP="00E7407C">
          <w:pPr>
            <w:pStyle w:val="NoSpacing"/>
          </w:pPr>
        </w:p>
        <w:p w14:paraId="60679944" w14:textId="77777777" w:rsidR="00E7407C" w:rsidRDefault="00E7407C" w:rsidP="00E7407C">
          <w:pPr>
            <w:pStyle w:val="NoSpacing"/>
          </w:pPr>
        </w:p>
        <w:p w14:paraId="016FA9D0" w14:textId="77777777" w:rsidR="00E7407C" w:rsidRDefault="00E7407C" w:rsidP="00E7407C">
          <w:pPr>
            <w:pBdr>
              <w:bottom w:val="single" w:sz="4" w:space="1" w:color="BE1E2D" w:themeColor="text2"/>
            </w:pBdr>
          </w:pPr>
        </w:p>
        <w:p w14:paraId="33D23774" w14:textId="77777777" w:rsidR="00E7407C" w:rsidRDefault="00E7407C" w:rsidP="00E7407C">
          <w:pPr>
            <w:pBdr>
              <w:bottom w:val="single" w:sz="4" w:space="1" w:color="BE1E2D" w:themeColor="text2"/>
            </w:pBdr>
          </w:pPr>
        </w:p>
        <w:p w14:paraId="22A61B09" w14:textId="77777777" w:rsidR="00E7407C" w:rsidRDefault="00E7407C" w:rsidP="00E7407C">
          <w:pPr>
            <w:pStyle w:val="Subtitle"/>
            <w:keepNext w:val="0"/>
            <w:keepLines w:val="0"/>
            <w:pageBreakBefore w:val="0"/>
            <w:spacing w:before="0" w:after="0"/>
            <w:jc w:val="right"/>
            <w:rPr>
              <w:rStyle w:val="SubtitleChar"/>
              <w:b/>
              <w:bCs/>
              <w:color w:val="555A51" w:themeColor="background2" w:themeShade="80"/>
              <w:sz w:val="22"/>
              <w:szCs w:val="22"/>
            </w:rPr>
          </w:pPr>
          <w:bookmarkStart w:id="2" w:name="_Toc42598094"/>
          <w:bookmarkStart w:id="3" w:name="_Toc42612887"/>
          <w:bookmarkStart w:id="4" w:name="_Toc42086460"/>
          <w:r w:rsidRPr="008060D4">
            <w:rPr>
              <w:rStyle w:val="SubtitleChar"/>
              <w:b/>
              <w:bCs/>
              <w:color w:val="555A51" w:themeColor="background2" w:themeShade="80"/>
              <w:sz w:val="22"/>
              <w:szCs w:val="22"/>
            </w:rPr>
            <w:t xml:space="preserve">June </w:t>
          </w:r>
          <w:r>
            <w:rPr>
              <w:rStyle w:val="SubtitleChar"/>
              <w:b/>
              <w:bCs/>
              <w:color w:val="555A51" w:themeColor="background2" w:themeShade="80"/>
              <w:sz w:val="22"/>
              <w:szCs w:val="22"/>
            </w:rPr>
            <w:t>9</w:t>
          </w:r>
          <w:r w:rsidRPr="008060D4">
            <w:rPr>
              <w:rStyle w:val="SubtitleChar"/>
              <w:b/>
              <w:bCs/>
              <w:color w:val="555A51" w:themeColor="background2" w:themeShade="80"/>
              <w:sz w:val="22"/>
              <w:szCs w:val="22"/>
            </w:rPr>
            <w:t>, 2020</w:t>
          </w:r>
          <w:bookmarkEnd w:id="2"/>
          <w:bookmarkEnd w:id="3"/>
        </w:p>
        <w:p w14:paraId="4449090D" w14:textId="77777777" w:rsidR="00E7407C" w:rsidRPr="00554C89" w:rsidRDefault="00E7407C" w:rsidP="00E7407C">
          <w:pPr>
            <w:pStyle w:val="NoSpacing"/>
          </w:pPr>
        </w:p>
      </w:sdtContent>
    </w:sdt>
    <w:bookmarkEnd w:id="4" w:displacedByCustomXml="prev"/>
    <w:p w14:paraId="44C6C0D1" w14:textId="77777777" w:rsidR="00F10AB6" w:rsidRDefault="00F10AB6">
      <w:pPr>
        <w:spacing w:before="0" w:after="160"/>
        <w:rPr>
          <w:rFonts w:asciiTheme="majorHAnsi" w:eastAsiaTheme="majorEastAsia" w:hAnsiTheme="majorHAnsi" w:cstheme="majorBidi"/>
          <w:sz w:val="34"/>
          <w:szCs w:val="26"/>
        </w:rPr>
        <w:sectPr w:rsidR="00F10AB6" w:rsidSect="007D21C7">
          <w:headerReference w:type="default" r:id="rId13"/>
          <w:footerReference w:type="default" r:id="rId14"/>
          <w:type w:val="continuous"/>
          <w:pgSz w:w="12240" w:h="15840" w:code="1"/>
          <w:pgMar w:top="1656" w:right="1440" w:bottom="1440" w:left="1440" w:header="720" w:footer="720" w:gutter="0"/>
          <w:pgNumType w:start="1"/>
          <w:cols w:space="720"/>
          <w:titlePg/>
          <w:docGrid w:linePitch="360"/>
        </w:sectPr>
      </w:pPr>
      <w:bookmarkStart w:id="5" w:name="_Toc41910390"/>
    </w:p>
    <w:p w14:paraId="11213EAB" w14:textId="18798F8E" w:rsidR="00F10AB6" w:rsidRPr="007372AD" w:rsidRDefault="00F16250" w:rsidP="007372AD">
      <w:pPr>
        <w:pStyle w:val="Heading2"/>
        <w:numPr>
          <w:ilvl w:val="0"/>
          <w:numId w:val="0"/>
        </w:numPr>
        <w:ind w:left="576" w:hanging="576"/>
        <w:rPr>
          <w:szCs w:val="34"/>
        </w:rPr>
      </w:pPr>
      <w:bookmarkStart w:id="6" w:name="_Toc42612943"/>
      <w:r w:rsidRPr="00F10AB6">
        <w:rPr>
          <w:szCs w:val="34"/>
        </w:rPr>
        <w:lastRenderedPageBreak/>
        <w:t>A-6.</w:t>
      </w:r>
      <w:r w:rsidRPr="00F10AB6">
        <w:rPr>
          <w:szCs w:val="34"/>
        </w:rPr>
        <w:tab/>
      </w:r>
      <w:r w:rsidR="00157A96">
        <w:rPr>
          <w:szCs w:val="34"/>
        </w:rPr>
        <w:t xml:space="preserve">Framework Summary Table: </w:t>
      </w:r>
      <w:r w:rsidR="00157A96" w:rsidRPr="00F10AB6">
        <w:rPr>
          <w:color w:val="000000" w:themeColor="text1"/>
          <w:szCs w:val="34"/>
        </w:rPr>
        <w:t xml:space="preserve">Focus Areas </w:t>
      </w:r>
      <w:r w:rsidR="00157A96">
        <w:rPr>
          <w:color w:val="000000" w:themeColor="text1"/>
          <w:szCs w:val="34"/>
        </w:rPr>
        <w:t>by</w:t>
      </w:r>
      <w:r w:rsidR="00157A96" w:rsidRPr="00F10AB6">
        <w:rPr>
          <w:color w:val="000000" w:themeColor="text1"/>
          <w:szCs w:val="34"/>
        </w:rPr>
        <w:t xml:space="preserve"> Activity Timeframe</w:t>
      </w:r>
      <w:bookmarkEnd w:id="6"/>
    </w:p>
    <w:p w14:paraId="3D80668D" w14:textId="77777777" w:rsidR="00F10AB6" w:rsidRPr="00F10AB6" w:rsidRDefault="00F10AB6" w:rsidP="001171F6">
      <w:pPr>
        <w:pStyle w:val="NoSpacing"/>
      </w:pPr>
    </w:p>
    <w:tbl>
      <w:tblPr>
        <w:tblStyle w:val="TableGrid"/>
        <w:tblW w:w="12960" w:type="dxa"/>
        <w:tblLook w:val="04A0" w:firstRow="1" w:lastRow="0" w:firstColumn="1" w:lastColumn="0" w:noHBand="0" w:noVBand="1"/>
      </w:tblPr>
      <w:tblGrid>
        <w:gridCol w:w="1440"/>
        <w:gridCol w:w="2880"/>
        <w:gridCol w:w="2880"/>
        <w:gridCol w:w="2880"/>
        <w:gridCol w:w="2880"/>
      </w:tblGrid>
      <w:tr w:rsidR="00F10AB6" w14:paraId="34314283" w14:textId="77777777" w:rsidTr="00F21050">
        <w:tc>
          <w:tcPr>
            <w:tcW w:w="1440" w:type="dxa"/>
            <w:vMerge w:val="restart"/>
            <w:shd w:val="clear" w:color="auto" w:fill="CCCFC9" w:themeFill="background2" w:themeFillTint="99"/>
          </w:tcPr>
          <w:p w14:paraId="436DDC12" w14:textId="77777777" w:rsidR="00F10AB6" w:rsidRPr="00983AF1" w:rsidRDefault="00F10AB6" w:rsidP="00DF692F">
            <w:pPr>
              <w:spacing w:before="60" w:after="60" w:line="247" w:lineRule="auto"/>
              <w:rPr>
                <w:b/>
                <w:color w:val="061425" w:themeColor="accent1" w:themeShade="80"/>
              </w:rPr>
            </w:pPr>
          </w:p>
          <w:p w14:paraId="68A06FFC" w14:textId="77777777" w:rsidR="00F10AB6" w:rsidRPr="00983AF1" w:rsidRDefault="00F10AB6" w:rsidP="00DF692F">
            <w:pPr>
              <w:spacing w:before="60" w:after="60" w:line="247" w:lineRule="auto"/>
              <w:rPr>
                <w:b/>
                <w:color w:val="061425" w:themeColor="accent1" w:themeShade="80"/>
              </w:rPr>
            </w:pPr>
          </w:p>
          <w:p w14:paraId="6DF50164" w14:textId="77777777" w:rsidR="00F10AB6" w:rsidRPr="00983AF1" w:rsidRDefault="00F10AB6" w:rsidP="00DF692F">
            <w:pPr>
              <w:spacing w:before="60" w:after="60" w:line="247" w:lineRule="auto"/>
              <w:rPr>
                <w:b/>
                <w:color w:val="061425" w:themeColor="accent1" w:themeShade="80"/>
              </w:rPr>
            </w:pPr>
            <w:r w:rsidRPr="00983AF1">
              <w:rPr>
                <w:b/>
                <w:color w:val="061425" w:themeColor="accent1" w:themeShade="80"/>
              </w:rPr>
              <w:t>Pandemic Timeframe</w:t>
            </w:r>
          </w:p>
        </w:tc>
        <w:tc>
          <w:tcPr>
            <w:tcW w:w="2880" w:type="dxa"/>
            <w:shd w:val="clear" w:color="auto" w:fill="BD1E2C"/>
          </w:tcPr>
          <w:p w14:paraId="6B435A47" w14:textId="3277900F" w:rsidR="00F10AB6" w:rsidRPr="000B3FD0" w:rsidRDefault="001171F6" w:rsidP="00DF692F">
            <w:pPr>
              <w:spacing w:before="60" w:after="60" w:line="247" w:lineRule="auto"/>
              <w:jc w:val="center"/>
              <w:rPr>
                <w:b/>
                <w:color w:val="FFFFFF" w:themeColor="background1"/>
              </w:rPr>
            </w:pPr>
            <w:r w:rsidRPr="000B3FD0">
              <w:rPr>
                <w:b/>
                <w:color w:val="FFFFFF" w:themeColor="background1"/>
              </w:rPr>
              <w:t>Immediate</w:t>
            </w:r>
          </w:p>
        </w:tc>
        <w:tc>
          <w:tcPr>
            <w:tcW w:w="2880" w:type="dxa"/>
            <w:shd w:val="clear" w:color="auto" w:fill="F23D28"/>
          </w:tcPr>
          <w:p w14:paraId="11EB46DD" w14:textId="7350C778" w:rsidR="00F10AB6" w:rsidRPr="000B3FD0" w:rsidRDefault="001171F6" w:rsidP="00DF692F">
            <w:pPr>
              <w:spacing w:before="60" w:after="60" w:line="247" w:lineRule="auto"/>
              <w:jc w:val="center"/>
              <w:rPr>
                <w:b/>
                <w:color w:val="FFFFFF" w:themeColor="background1"/>
              </w:rPr>
            </w:pPr>
            <w:r w:rsidRPr="000B3FD0">
              <w:rPr>
                <w:b/>
                <w:color w:val="FFFFFF" w:themeColor="background1"/>
              </w:rPr>
              <w:t>Short-Term</w:t>
            </w:r>
          </w:p>
        </w:tc>
        <w:tc>
          <w:tcPr>
            <w:tcW w:w="2880" w:type="dxa"/>
            <w:shd w:val="clear" w:color="auto" w:fill="EC9D15"/>
          </w:tcPr>
          <w:p w14:paraId="0A0A4383" w14:textId="56ACA0F1" w:rsidR="00F10AB6" w:rsidRPr="000B3FD0" w:rsidRDefault="001171F6" w:rsidP="00DF692F">
            <w:pPr>
              <w:spacing w:before="60" w:after="60" w:line="247" w:lineRule="auto"/>
              <w:jc w:val="center"/>
              <w:rPr>
                <w:b/>
                <w:color w:val="FFFFFF" w:themeColor="background1"/>
              </w:rPr>
            </w:pPr>
            <w:r w:rsidRPr="000B3FD0">
              <w:rPr>
                <w:b/>
                <w:color w:val="FFFFFF" w:themeColor="background1"/>
              </w:rPr>
              <w:t>Medium-Term</w:t>
            </w:r>
          </w:p>
        </w:tc>
        <w:tc>
          <w:tcPr>
            <w:tcW w:w="2880" w:type="dxa"/>
            <w:shd w:val="clear" w:color="auto" w:fill="0B284B"/>
          </w:tcPr>
          <w:p w14:paraId="46CCA70C" w14:textId="3AF0B50A" w:rsidR="00F10AB6" w:rsidRPr="000B3FD0" w:rsidRDefault="001171F6" w:rsidP="00DF692F">
            <w:pPr>
              <w:spacing w:before="60" w:after="60" w:line="247" w:lineRule="auto"/>
              <w:jc w:val="center"/>
              <w:rPr>
                <w:b/>
              </w:rPr>
            </w:pPr>
            <w:r w:rsidRPr="000B3FD0">
              <w:rPr>
                <w:b/>
              </w:rPr>
              <w:t>Long-Term</w:t>
            </w:r>
          </w:p>
        </w:tc>
      </w:tr>
      <w:tr w:rsidR="00F10AB6" w:rsidRPr="00677CE7" w14:paraId="3CE8DC8D" w14:textId="77777777" w:rsidTr="00F21050">
        <w:tc>
          <w:tcPr>
            <w:tcW w:w="1440" w:type="dxa"/>
            <w:vMerge/>
            <w:shd w:val="clear" w:color="auto" w:fill="CCCFC9" w:themeFill="background2" w:themeFillTint="99"/>
          </w:tcPr>
          <w:p w14:paraId="60D17C8C" w14:textId="77777777" w:rsidR="00F10AB6" w:rsidRPr="00677CE7" w:rsidRDefault="00F10AB6" w:rsidP="00DF692F">
            <w:pPr>
              <w:spacing w:before="60" w:after="60" w:line="247" w:lineRule="auto"/>
              <w:jc w:val="center"/>
              <w:rPr>
                <w:b/>
                <w:color w:val="061425" w:themeColor="accent1" w:themeShade="80"/>
              </w:rPr>
            </w:pPr>
          </w:p>
        </w:tc>
        <w:tc>
          <w:tcPr>
            <w:tcW w:w="2880" w:type="dxa"/>
          </w:tcPr>
          <w:p w14:paraId="5FA3E258" w14:textId="77777777" w:rsidR="00F10AB6" w:rsidRDefault="00F10AB6" w:rsidP="00DF692F">
            <w:pPr>
              <w:spacing w:before="60" w:after="60" w:line="247" w:lineRule="auto"/>
              <w:jc w:val="center"/>
              <w:rPr>
                <w:b/>
                <w:color w:val="061425" w:themeColor="accent1" w:themeShade="80"/>
              </w:rPr>
            </w:pPr>
            <w:r>
              <w:rPr>
                <w:b/>
                <w:color w:val="061425" w:themeColor="accent1" w:themeShade="80"/>
              </w:rPr>
              <w:t xml:space="preserve">Prevention &amp; Containment </w:t>
            </w:r>
          </w:p>
          <w:p w14:paraId="2D2F41DB" w14:textId="77777777" w:rsidR="00F10AB6" w:rsidRPr="00983AF1" w:rsidRDefault="00F10AB6" w:rsidP="00DF692F">
            <w:pPr>
              <w:spacing w:before="60" w:after="60" w:line="247" w:lineRule="auto"/>
              <w:jc w:val="center"/>
              <w:rPr>
                <w:bCs/>
                <w:color w:val="061425" w:themeColor="accent1" w:themeShade="80"/>
              </w:rPr>
            </w:pPr>
            <w:r w:rsidRPr="00983AF1">
              <w:rPr>
                <w:bCs/>
                <w:color w:val="061425" w:themeColor="accent1" w:themeShade="80"/>
              </w:rPr>
              <w:t>Likely already well underway</w:t>
            </w:r>
          </w:p>
        </w:tc>
        <w:tc>
          <w:tcPr>
            <w:tcW w:w="2880" w:type="dxa"/>
          </w:tcPr>
          <w:p w14:paraId="08FE3A04" w14:textId="77777777" w:rsidR="00F10AB6" w:rsidRDefault="00F10AB6" w:rsidP="00DF692F">
            <w:pPr>
              <w:spacing w:before="60" w:after="60" w:line="247" w:lineRule="auto"/>
              <w:jc w:val="center"/>
              <w:rPr>
                <w:b/>
                <w:color w:val="061425" w:themeColor="accent1" w:themeShade="80"/>
              </w:rPr>
            </w:pPr>
            <w:r>
              <w:rPr>
                <w:b/>
                <w:color w:val="061425" w:themeColor="accent1" w:themeShade="80"/>
              </w:rPr>
              <w:t xml:space="preserve">Peak Period </w:t>
            </w:r>
          </w:p>
          <w:p w14:paraId="1C045B8F" w14:textId="77777777" w:rsidR="00F10AB6" w:rsidRPr="00677CE7" w:rsidRDefault="00F10AB6" w:rsidP="00DF692F">
            <w:pPr>
              <w:spacing w:before="60" w:after="60" w:line="247" w:lineRule="auto"/>
              <w:jc w:val="center"/>
              <w:rPr>
                <w:b/>
                <w:color w:val="061425" w:themeColor="accent1" w:themeShade="80"/>
              </w:rPr>
            </w:pPr>
            <w:r w:rsidRPr="00983AF1">
              <w:rPr>
                <w:color w:val="061425" w:themeColor="accent1" w:themeShade="80"/>
              </w:rPr>
              <w:t>Likely underway or have begun; a few may be completed</w:t>
            </w:r>
          </w:p>
        </w:tc>
        <w:tc>
          <w:tcPr>
            <w:tcW w:w="2880" w:type="dxa"/>
          </w:tcPr>
          <w:p w14:paraId="6E3947F3" w14:textId="77777777" w:rsidR="00F10AB6" w:rsidRDefault="00F10AB6" w:rsidP="00DF692F">
            <w:pPr>
              <w:spacing w:before="60" w:after="60" w:line="247" w:lineRule="auto"/>
              <w:jc w:val="center"/>
              <w:rPr>
                <w:b/>
                <w:color w:val="061425" w:themeColor="accent1" w:themeShade="80"/>
              </w:rPr>
            </w:pPr>
            <w:r>
              <w:rPr>
                <w:b/>
                <w:color w:val="061425" w:themeColor="accent1" w:themeShade="80"/>
              </w:rPr>
              <w:t>Post-Peak Period &amp; Housing-Focused Re-opening</w:t>
            </w:r>
          </w:p>
          <w:p w14:paraId="268A2EAA" w14:textId="77777777" w:rsidR="00F10AB6" w:rsidRPr="00677CE7" w:rsidRDefault="00F10AB6" w:rsidP="00DF692F">
            <w:pPr>
              <w:spacing w:before="60" w:after="60" w:line="247" w:lineRule="auto"/>
              <w:jc w:val="center"/>
              <w:rPr>
                <w:b/>
                <w:color w:val="061425" w:themeColor="accent1" w:themeShade="80"/>
              </w:rPr>
            </w:pPr>
            <w:r w:rsidRPr="00983AF1">
              <w:rPr>
                <w:color w:val="061425" w:themeColor="accent1" w:themeShade="80"/>
              </w:rPr>
              <w:t>Should be underway or started by mid-summer</w:t>
            </w:r>
          </w:p>
        </w:tc>
        <w:tc>
          <w:tcPr>
            <w:tcW w:w="2880" w:type="dxa"/>
          </w:tcPr>
          <w:p w14:paraId="1E2CED20" w14:textId="77777777" w:rsidR="00F10AB6" w:rsidRDefault="00F10AB6" w:rsidP="00DF692F">
            <w:pPr>
              <w:spacing w:before="60" w:after="60" w:line="247" w:lineRule="auto"/>
              <w:jc w:val="center"/>
              <w:rPr>
                <w:b/>
                <w:color w:val="061425" w:themeColor="accent1" w:themeShade="80"/>
              </w:rPr>
            </w:pPr>
            <w:r>
              <w:rPr>
                <w:b/>
                <w:color w:val="061425" w:themeColor="accent1" w:themeShade="80"/>
              </w:rPr>
              <w:t>Post-Pandemic Planning &amp; Implementation to Right-Size the Housing Response System</w:t>
            </w:r>
          </w:p>
          <w:p w14:paraId="3C91B566" w14:textId="77777777" w:rsidR="00F10AB6" w:rsidRPr="00677CE7" w:rsidRDefault="00F10AB6" w:rsidP="00DF692F">
            <w:pPr>
              <w:spacing w:before="60" w:after="60" w:line="247" w:lineRule="auto"/>
              <w:jc w:val="center"/>
              <w:rPr>
                <w:b/>
                <w:color w:val="061425" w:themeColor="accent1" w:themeShade="80"/>
              </w:rPr>
            </w:pPr>
            <w:r w:rsidRPr="00983AF1">
              <w:rPr>
                <w:color w:val="061425" w:themeColor="accent1" w:themeShade="80"/>
              </w:rPr>
              <w:t>Should begin in mid to late summer</w:t>
            </w:r>
          </w:p>
        </w:tc>
      </w:tr>
    </w:tbl>
    <w:p w14:paraId="4C61E689" w14:textId="77777777" w:rsidR="00F10AB6" w:rsidRDefault="00F10AB6" w:rsidP="001171F6">
      <w:pPr>
        <w:pStyle w:val="NoSpacing"/>
      </w:pPr>
    </w:p>
    <w:tbl>
      <w:tblPr>
        <w:tblStyle w:val="TableGrid"/>
        <w:tblW w:w="12960" w:type="dxa"/>
        <w:tblLook w:val="04A0" w:firstRow="1" w:lastRow="0" w:firstColumn="1" w:lastColumn="0" w:noHBand="0" w:noVBand="1"/>
      </w:tblPr>
      <w:tblGrid>
        <w:gridCol w:w="1440"/>
        <w:gridCol w:w="2880"/>
        <w:gridCol w:w="2880"/>
        <w:gridCol w:w="2880"/>
        <w:gridCol w:w="2880"/>
      </w:tblGrid>
      <w:tr w:rsidR="00F10AB6" w14:paraId="1ADE57BB" w14:textId="77777777" w:rsidTr="00DF692F">
        <w:trPr>
          <w:tblHeader/>
        </w:trPr>
        <w:tc>
          <w:tcPr>
            <w:tcW w:w="1440" w:type="dxa"/>
            <w:shd w:val="clear" w:color="auto" w:fill="CCCFC9" w:themeFill="background2" w:themeFillTint="99"/>
          </w:tcPr>
          <w:p w14:paraId="62D60363" w14:textId="191BDAC5" w:rsidR="00F10AB6" w:rsidRPr="00677040" w:rsidRDefault="001171F6" w:rsidP="00DF692F">
            <w:pPr>
              <w:spacing w:before="60" w:after="60" w:line="247" w:lineRule="auto"/>
              <w:rPr>
                <w:b/>
              </w:rPr>
            </w:pPr>
            <w:r w:rsidRPr="001171F6">
              <w:rPr>
                <w:b/>
                <w:color w:val="000000" w:themeColor="text1"/>
              </w:rPr>
              <w:t>Focus Area</w:t>
            </w:r>
          </w:p>
        </w:tc>
        <w:tc>
          <w:tcPr>
            <w:tcW w:w="2880" w:type="dxa"/>
            <w:shd w:val="clear" w:color="auto" w:fill="BD1E2C"/>
          </w:tcPr>
          <w:p w14:paraId="474CE334" w14:textId="2A7798FF" w:rsidR="00F10AB6" w:rsidRPr="000B3FD0" w:rsidRDefault="001171F6" w:rsidP="00DF692F">
            <w:pPr>
              <w:spacing w:before="60" w:after="60" w:line="247" w:lineRule="auto"/>
              <w:jc w:val="center"/>
              <w:rPr>
                <w:b/>
                <w:color w:val="FFFFFF" w:themeColor="background1"/>
              </w:rPr>
            </w:pPr>
            <w:r w:rsidRPr="000B3FD0">
              <w:rPr>
                <w:b/>
                <w:color w:val="FFFFFF" w:themeColor="background1"/>
              </w:rPr>
              <w:t>Immediate</w:t>
            </w:r>
          </w:p>
        </w:tc>
        <w:tc>
          <w:tcPr>
            <w:tcW w:w="2880" w:type="dxa"/>
            <w:shd w:val="clear" w:color="auto" w:fill="F23D28"/>
          </w:tcPr>
          <w:p w14:paraId="6BB50D7E" w14:textId="1BB7472B" w:rsidR="00F10AB6" w:rsidRPr="000B3FD0" w:rsidRDefault="001171F6" w:rsidP="00DF692F">
            <w:pPr>
              <w:spacing w:before="60" w:after="60" w:line="247" w:lineRule="auto"/>
              <w:jc w:val="center"/>
              <w:rPr>
                <w:b/>
                <w:color w:val="FFFFFF" w:themeColor="background1"/>
              </w:rPr>
            </w:pPr>
            <w:r w:rsidRPr="000B3FD0">
              <w:rPr>
                <w:b/>
                <w:color w:val="FFFFFF" w:themeColor="background1"/>
              </w:rPr>
              <w:t>Short-Term</w:t>
            </w:r>
          </w:p>
        </w:tc>
        <w:tc>
          <w:tcPr>
            <w:tcW w:w="2880" w:type="dxa"/>
            <w:shd w:val="clear" w:color="auto" w:fill="EC9D15"/>
          </w:tcPr>
          <w:p w14:paraId="1BD37F2E" w14:textId="55786DDF" w:rsidR="00F10AB6" w:rsidRPr="000B3FD0" w:rsidRDefault="001171F6" w:rsidP="00DF692F">
            <w:pPr>
              <w:spacing w:before="60" w:after="60" w:line="247" w:lineRule="auto"/>
              <w:jc w:val="center"/>
              <w:rPr>
                <w:b/>
                <w:color w:val="FFFFFF" w:themeColor="background1"/>
              </w:rPr>
            </w:pPr>
            <w:r w:rsidRPr="000B3FD0">
              <w:rPr>
                <w:b/>
                <w:color w:val="FFFFFF" w:themeColor="background1"/>
              </w:rPr>
              <w:t>Medium-Term</w:t>
            </w:r>
          </w:p>
        </w:tc>
        <w:tc>
          <w:tcPr>
            <w:tcW w:w="2880" w:type="dxa"/>
            <w:shd w:val="clear" w:color="auto" w:fill="0B284B"/>
          </w:tcPr>
          <w:p w14:paraId="1BC2CA79" w14:textId="31DB31B2" w:rsidR="00F10AB6" w:rsidRPr="000B3FD0" w:rsidRDefault="001171F6" w:rsidP="00DF692F">
            <w:pPr>
              <w:spacing w:before="60" w:after="60" w:line="247" w:lineRule="auto"/>
              <w:jc w:val="center"/>
              <w:rPr>
                <w:b/>
              </w:rPr>
            </w:pPr>
            <w:r w:rsidRPr="000B3FD0">
              <w:rPr>
                <w:b/>
              </w:rPr>
              <w:t>Long-Term</w:t>
            </w:r>
          </w:p>
        </w:tc>
      </w:tr>
      <w:tr w:rsidR="00F10AB6" w14:paraId="627CE89C" w14:textId="77777777" w:rsidTr="00F21050">
        <w:tc>
          <w:tcPr>
            <w:tcW w:w="1440" w:type="dxa"/>
          </w:tcPr>
          <w:p w14:paraId="5ED85741" w14:textId="77777777" w:rsidR="00F10AB6" w:rsidRPr="00154A3D" w:rsidRDefault="00F10AB6" w:rsidP="00DF692F">
            <w:pPr>
              <w:spacing w:before="60" w:after="60" w:line="247" w:lineRule="auto"/>
              <w:rPr>
                <w:b/>
                <w:bCs/>
              </w:rPr>
            </w:pPr>
            <w:r w:rsidRPr="00154A3D">
              <w:rPr>
                <w:b/>
                <w:bCs/>
              </w:rPr>
              <w:t>Unsheltered</w:t>
            </w:r>
          </w:p>
        </w:tc>
        <w:tc>
          <w:tcPr>
            <w:tcW w:w="2880" w:type="dxa"/>
          </w:tcPr>
          <w:p w14:paraId="2C984CE7" w14:textId="77777777" w:rsidR="00F10AB6" w:rsidRPr="005C6DB1" w:rsidRDefault="00F10AB6" w:rsidP="00DF692F">
            <w:pPr>
              <w:pStyle w:val="Bullets"/>
              <w:spacing w:before="60" w:after="60" w:line="247" w:lineRule="auto"/>
              <w:ind w:left="216" w:hanging="216"/>
            </w:pPr>
            <w:r w:rsidRPr="005C6DB1">
              <w:t>To reduce the risk of infection and transmission, do not clear encampments.</w:t>
            </w:r>
          </w:p>
          <w:p w14:paraId="69CB1029" w14:textId="77777777" w:rsidR="00F10AB6" w:rsidRPr="005C6DB1" w:rsidRDefault="00F10AB6" w:rsidP="00DF692F">
            <w:pPr>
              <w:pStyle w:val="Bullets"/>
              <w:spacing w:before="60" w:after="60" w:line="247" w:lineRule="auto"/>
              <w:ind w:left="216" w:hanging="216"/>
            </w:pPr>
            <w:r w:rsidRPr="005C6DB1">
              <w:t xml:space="preserve">Teach, equip and apply the use of appropriate protective equipment in street outreach. Access CAEH’s COVID-19 Resource on </w:t>
            </w:r>
            <w:hyperlink r:id="rId15" w:history="1">
              <w:r w:rsidRPr="005C6DB1">
                <w:rPr>
                  <w:rStyle w:val="Hyperlink"/>
                </w:rPr>
                <w:t>Personal Protective Equipment (PPE)</w:t>
              </w:r>
            </w:hyperlink>
            <w:r w:rsidRPr="005C6DB1">
              <w:t xml:space="preserve"> to learn more.</w:t>
            </w:r>
          </w:p>
          <w:p w14:paraId="2E37D15C" w14:textId="77777777" w:rsidR="00F10AB6" w:rsidRPr="005C6DB1" w:rsidRDefault="00F10AB6" w:rsidP="00DF692F">
            <w:pPr>
              <w:pStyle w:val="Bullets"/>
              <w:spacing w:before="60" w:after="60" w:line="247" w:lineRule="auto"/>
              <w:ind w:left="216" w:hanging="216"/>
            </w:pPr>
            <w:r w:rsidRPr="005C6DB1">
              <w:t>Train street outreach staff on physical distancing and other safety considerations in street outreach, including administration of NarCan. Ensure access to and distribution of NarCan and other harm reduction supplies locally.</w:t>
            </w:r>
          </w:p>
          <w:p w14:paraId="2E676F72" w14:textId="77777777" w:rsidR="00F10AB6" w:rsidRPr="005C6DB1" w:rsidRDefault="00F10AB6" w:rsidP="00DF692F">
            <w:pPr>
              <w:pStyle w:val="Bullets"/>
              <w:spacing w:before="60" w:after="60" w:line="247" w:lineRule="auto"/>
              <w:ind w:left="216" w:hanging="216"/>
            </w:pPr>
            <w:r w:rsidRPr="005C6DB1">
              <w:t>Implement non-congregate shelter options for people living outdoors.</w:t>
            </w:r>
          </w:p>
          <w:p w14:paraId="512B24A8" w14:textId="77777777" w:rsidR="00F10AB6" w:rsidRPr="005C6DB1" w:rsidRDefault="00F10AB6" w:rsidP="00DF692F">
            <w:pPr>
              <w:pStyle w:val="Bullets"/>
              <w:spacing w:before="60" w:after="60" w:line="247" w:lineRule="auto"/>
              <w:ind w:left="216" w:hanging="216"/>
            </w:pPr>
            <w:r w:rsidRPr="005C6DB1">
              <w:t>Apply screening and testing protocols in large-scale outreach efforts for people sleeping rough; examine existing street outreach data and prioritize to whom outreach efforts will be focused. Existing data from outreach services or a past Point in Time Count can help inform where to go first to engage people effectively.</w:t>
            </w:r>
          </w:p>
          <w:p w14:paraId="7F2A1C5E" w14:textId="77777777" w:rsidR="00F10AB6" w:rsidRPr="005C6DB1" w:rsidRDefault="00F10AB6" w:rsidP="00DF692F">
            <w:pPr>
              <w:pStyle w:val="Bullets"/>
              <w:spacing w:before="60" w:after="60" w:line="247" w:lineRule="auto"/>
              <w:ind w:left="216" w:hanging="216"/>
            </w:pPr>
            <w:r w:rsidRPr="005C6DB1">
              <w:t>Create and apply safe transportation options, recognizing that public transportation options may not be readily available in many communities.</w:t>
            </w:r>
          </w:p>
          <w:p w14:paraId="0D8F2C1A" w14:textId="77777777" w:rsidR="00F10AB6" w:rsidRPr="005C6DB1" w:rsidRDefault="00F10AB6" w:rsidP="00DF692F">
            <w:pPr>
              <w:pStyle w:val="Bullets"/>
              <w:spacing w:before="60" w:after="60" w:line="247" w:lineRule="auto"/>
              <w:ind w:left="216" w:hanging="216"/>
            </w:pPr>
            <w:r w:rsidRPr="005C6DB1">
              <w:t>Ensure access to hygiene resources, either outdoors or in nearby facilities (toilet, shower, washbasin, laundry, soap).</w:t>
            </w:r>
          </w:p>
          <w:p w14:paraId="489B8EED" w14:textId="77777777" w:rsidR="00F10AB6" w:rsidRPr="005C6DB1" w:rsidRDefault="00F10AB6" w:rsidP="00DF692F">
            <w:pPr>
              <w:pStyle w:val="Bullets"/>
              <w:spacing w:before="60" w:after="60" w:line="247" w:lineRule="auto"/>
              <w:ind w:left="216" w:hanging="216"/>
            </w:pPr>
            <w:r w:rsidRPr="005C6DB1">
              <w:t>Create and distribute communication materials regarding protecting against COVID-19 with those who are unsheltered.</w:t>
            </w:r>
          </w:p>
          <w:p w14:paraId="12C6FDC1" w14:textId="77777777" w:rsidR="00F10AB6" w:rsidRPr="005C6DB1" w:rsidRDefault="00F10AB6" w:rsidP="00DF692F">
            <w:pPr>
              <w:pStyle w:val="Bullets"/>
              <w:spacing w:before="60" w:after="60" w:line="247" w:lineRule="auto"/>
              <w:ind w:left="216" w:hanging="216"/>
            </w:pPr>
            <w:r w:rsidRPr="005C6DB1">
              <w:t>Direct any unsheltered person who is unwell to testing site or other appropriate health care resource.</w:t>
            </w:r>
          </w:p>
          <w:p w14:paraId="77019EEA" w14:textId="77777777" w:rsidR="00F10AB6" w:rsidRDefault="00F10AB6" w:rsidP="00DF692F">
            <w:pPr>
              <w:pStyle w:val="Bullets"/>
              <w:spacing w:before="60" w:after="60" w:line="247" w:lineRule="auto"/>
              <w:ind w:left="216" w:hanging="216"/>
            </w:pPr>
            <w:r w:rsidRPr="005C6DB1">
              <w:t>Monitor and respond to survival needs, such as addressing food insecurity if drop-ins and other food services are currently closed.</w:t>
            </w:r>
          </w:p>
          <w:p w14:paraId="143A73FE" w14:textId="77777777" w:rsidR="00F10AB6" w:rsidRDefault="00F10AB6" w:rsidP="00DF692F">
            <w:pPr>
              <w:pStyle w:val="Bullets"/>
              <w:spacing w:before="60" w:after="60" w:line="247" w:lineRule="auto"/>
              <w:ind w:left="216" w:hanging="216"/>
            </w:pPr>
            <w:r w:rsidRPr="005C6DB1">
              <w:t>Engage people with lived experience to ensure the response to unsheltered homelessness is adequate.</w:t>
            </w:r>
          </w:p>
        </w:tc>
        <w:tc>
          <w:tcPr>
            <w:tcW w:w="2880" w:type="dxa"/>
          </w:tcPr>
          <w:p w14:paraId="218089DA" w14:textId="77777777" w:rsidR="00F10AB6" w:rsidRPr="005C6DB1" w:rsidRDefault="00F10AB6" w:rsidP="00DF692F">
            <w:pPr>
              <w:pStyle w:val="Bullets"/>
              <w:spacing w:before="60" w:after="60" w:line="247" w:lineRule="auto"/>
              <w:ind w:left="216" w:hanging="216"/>
            </w:pPr>
            <w:r w:rsidRPr="005C6DB1">
              <w:t>Revisit whether the outreach strategy has been comprehensive in locating and mapping encampments as well as required testing.</w:t>
            </w:r>
          </w:p>
          <w:p w14:paraId="5B353AF9" w14:textId="77777777" w:rsidR="00F10AB6" w:rsidRDefault="00F10AB6" w:rsidP="00DF692F">
            <w:pPr>
              <w:pStyle w:val="Bullets"/>
              <w:spacing w:before="60" w:after="60" w:line="247" w:lineRule="auto"/>
              <w:ind w:left="216" w:hanging="216"/>
            </w:pPr>
            <w:r w:rsidRPr="005C6DB1">
              <w:t>Continue to make offers of shelter and housing to those that remain unsheltered.</w:t>
            </w:r>
          </w:p>
          <w:p w14:paraId="242446F0" w14:textId="77777777" w:rsidR="00F10AB6" w:rsidRDefault="00F10AB6" w:rsidP="00DF692F">
            <w:pPr>
              <w:pStyle w:val="Bullets"/>
              <w:spacing w:before="60" w:after="60" w:line="247" w:lineRule="auto"/>
              <w:ind w:left="216" w:hanging="216"/>
            </w:pPr>
            <w:r w:rsidRPr="005C6DB1">
              <w:t xml:space="preserve">Solicit input from faith-based organizations, </w:t>
            </w:r>
            <w:r>
              <w:t>neighbours</w:t>
            </w:r>
            <w:r w:rsidRPr="005C6DB1">
              <w:t>, businesses that are open, and people with lived experience to identify where outreach efforts can be expanded or refined to reach people not previously engaged (especially at or near encampment sites that are not occupied during visits, but there is evidence one or more person is staying there).</w:t>
            </w:r>
          </w:p>
        </w:tc>
        <w:tc>
          <w:tcPr>
            <w:tcW w:w="2880" w:type="dxa"/>
          </w:tcPr>
          <w:p w14:paraId="1EC22EEB" w14:textId="77777777" w:rsidR="00F10AB6" w:rsidRPr="005C6DB1" w:rsidRDefault="00F10AB6" w:rsidP="00DF692F">
            <w:pPr>
              <w:pStyle w:val="Bullets"/>
              <w:spacing w:before="60" w:after="60" w:line="247" w:lineRule="auto"/>
              <w:ind w:left="216" w:hanging="216"/>
            </w:pPr>
            <w:r w:rsidRPr="005C6DB1">
              <w:t xml:space="preserve">Complete a case review and case conference process as necessary for all people remaining unsheltered. Determine if lack of movement inside is a result of service barriers that need to be resolved, lack of capacity, previous poor experience of trying to be inside since pandemic started, and/or personal choice to stay outside. </w:t>
            </w:r>
          </w:p>
          <w:p w14:paraId="1A8EBD06" w14:textId="77777777" w:rsidR="00F10AB6" w:rsidRDefault="00F10AB6" w:rsidP="00DF692F">
            <w:pPr>
              <w:pStyle w:val="Bullets"/>
              <w:spacing w:before="60" w:after="60" w:line="247" w:lineRule="auto"/>
              <w:ind w:left="216" w:hanging="216"/>
            </w:pPr>
            <w:r w:rsidRPr="005C6DB1">
              <w:t>Develop personalized support plan for each person that desires to continue staying outdoors. Support plans should include information and as necessary, support with physical distancing, hygiene, sanitation, harm reduction, food security, survival supports, etc.</w:t>
            </w:r>
          </w:p>
          <w:p w14:paraId="70F645E0" w14:textId="77777777" w:rsidR="00F10AB6" w:rsidRDefault="00F10AB6" w:rsidP="00DF692F">
            <w:pPr>
              <w:pStyle w:val="Bullets"/>
              <w:spacing w:before="60" w:after="60" w:line="247" w:lineRule="auto"/>
              <w:ind w:left="216" w:hanging="216"/>
            </w:pPr>
            <w:r w:rsidRPr="005C6DB1">
              <w:t>Continue to monitor all unsheltered persons for symptoms, regardless of whether it is their intention to move indoors or stay outdoors.</w:t>
            </w:r>
          </w:p>
        </w:tc>
        <w:tc>
          <w:tcPr>
            <w:tcW w:w="2880" w:type="dxa"/>
          </w:tcPr>
          <w:p w14:paraId="32E39325" w14:textId="77777777" w:rsidR="00F10AB6" w:rsidRPr="005C6DB1" w:rsidRDefault="00F10AB6" w:rsidP="00DF692F">
            <w:pPr>
              <w:pStyle w:val="Bullets"/>
              <w:spacing w:before="60" w:after="60" w:line="247" w:lineRule="auto"/>
              <w:ind w:left="216" w:hanging="216"/>
            </w:pPr>
            <w:r w:rsidRPr="005C6DB1">
              <w:t>Continue to monitor all unsheltered persons for symptoms, regardless of whether it is their intention to move indoors or stay outdoors.</w:t>
            </w:r>
          </w:p>
          <w:p w14:paraId="5F90B427" w14:textId="77777777" w:rsidR="00F10AB6" w:rsidRDefault="00F10AB6" w:rsidP="00DF692F">
            <w:pPr>
              <w:pStyle w:val="Bullets"/>
              <w:spacing w:before="60" w:after="60" w:line="247" w:lineRule="auto"/>
              <w:ind w:left="216" w:hanging="216"/>
            </w:pPr>
            <w:r w:rsidRPr="005C6DB1">
              <w:t>Continue to provide access to basic needs and survival supports.</w:t>
            </w:r>
          </w:p>
          <w:p w14:paraId="4D5C2178" w14:textId="77777777" w:rsidR="00F10AB6" w:rsidRDefault="00F10AB6" w:rsidP="00DF692F">
            <w:pPr>
              <w:pStyle w:val="Bullets"/>
              <w:spacing w:before="60" w:after="60" w:line="247" w:lineRule="auto"/>
              <w:ind w:left="216" w:hanging="216"/>
            </w:pPr>
            <w:r w:rsidRPr="005C6DB1">
              <w:t>Allow encampments to be removed only when there are public health concerns with the encampment, there is sufficient posted notice, there is intensive outreach to resolve the situation without enforcement, and there are direct housing options or non-congregate shelter options that can be offered for each person.</w:t>
            </w:r>
          </w:p>
        </w:tc>
      </w:tr>
    </w:tbl>
    <w:p w14:paraId="6CF497B7" w14:textId="77777777" w:rsidR="00F10AB6" w:rsidRDefault="00F10AB6" w:rsidP="001171F6">
      <w:pPr>
        <w:pStyle w:val="NoSpacing"/>
      </w:pPr>
    </w:p>
    <w:tbl>
      <w:tblPr>
        <w:tblStyle w:val="TableGrid"/>
        <w:tblW w:w="12960" w:type="dxa"/>
        <w:tblLook w:val="04A0" w:firstRow="1" w:lastRow="0" w:firstColumn="1" w:lastColumn="0" w:noHBand="0" w:noVBand="1"/>
      </w:tblPr>
      <w:tblGrid>
        <w:gridCol w:w="1440"/>
        <w:gridCol w:w="2880"/>
        <w:gridCol w:w="2880"/>
        <w:gridCol w:w="2880"/>
        <w:gridCol w:w="2880"/>
      </w:tblGrid>
      <w:tr w:rsidR="00F10AB6" w:rsidRPr="001171F6" w14:paraId="45AACA52" w14:textId="77777777" w:rsidTr="00154A3D">
        <w:trPr>
          <w:tblHeader/>
        </w:trPr>
        <w:tc>
          <w:tcPr>
            <w:tcW w:w="1440" w:type="dxa"/>
            <w:shd w:val="clear" w:color="auto" w:fill="CCCFC9" w:themeFill="background2" w:themeFillTint="99"/>
          </w:tcPr>
          <w:p w14:paraId="7E6D28A9" w14:textId="2351FA4D" w:rsidR="00F10AB6" w:rsidRPr="001171F6" w:rsidRDefault="001171F6" w:rsidP="00154A3D">
            <w:pPr>
              <w:spacing w:before="80" w:after="80" w:line="247" w:lineRule="auto"/>
              <w:rPr>
                <w:b/>
                <w:color w:val="000000" w:themeColor="text1"/>
              </w:rPr>
            </w:pPr>
            <w:r w:rsidRPr="001171F6">
              <w:rPr>
                <w:b/>
                <w:color w:val="000000" w:themeColor="text1"/>
              </w:rPr>
              <w:t>Focus Area</w:t>
            </w:r>
          </w:p>
        </w:tc>
        <w:tc>
          <w:tcPr>
            <w:tcW w:w="2880" w:type="dxa"/>
            <w:shd w:val="clear" w:color="auto" w:fill="BD1E2C"/>
          </w:tcPr>
          <w:p w14:paraId="3CBDCBDD" w14:textId="56FFD160" w:rsidR="00F10AB6" w:rsidRPr="001171F6" w:rsidRDefault="001171F6" w:rsidP="00DF692F">
            <w:pPr>
              <w:spacing w:before="80" w:after="80" w:line="247" w:lineRule="auto"/>
              <w:jc w:val="center"/>
              <w:rPr>
                <w:b/>
                <w:color w:val="FFFFFF" w:themeColor="background1"/>
              </w:rPr>
            </w:pPr>
            <w:r w:rsidRPr="001171F6">
              <w:rPr>
                <w:b/>
                <w:color w:val="FFFFFF" w:themeColor="background1"/>
              </w:rPr>
              <w:t>Immediate</w:t>
            </w:r>
          </w:p>
        </w:tc>
        <w:tc>
          <w:tcPr>
            <w:tcW w:w="2880" w:type="dxa"/>
            <w:shd w:val="clear" w:color="auto" w:fill="F23D28"/>
          </w:tcPr>
          <w:p w14:paraId="5842A97C" w14:textId="19766AA8" w:rsidR="00F10AB6" w:rsidRPr="001171F6" w:rsidRDefault="001171F6" w:rsidP="00DF692F">
            <w:pPr>
              <w:spacing w:before="80" w:after="80" w:line="247" w:lineRule="auto"/>
              <w:jc w:val="center"/>
              <w:rPr>
                <w:b/>
                <w:color w:val="FFFFFF" w:themeColor="background1"/>
              </w:rPr>
            </w:pPr>
            <w:r w:rsidRPr="001171F6">
              <w:rPr>
                <w:b/>
                <w:color w:val="FFFFFF" w:themeColor="background1"/>
              </w:rPr>
              <w:t>Short-Term</w:t>
            </w:r>
          </w:p>
        </w:tc>
        <w:tc>
          <w:tcPr>
            <w:tcW w:w="2880" w:type="dxa"/>
            <w:shd w:val="clear" w:color="auto" w:fill="EC9D15"/>
          </w:tcPr>
          <w:p w14:paraId="106CEFD6" w14:textId="189FD86B" w:rsidR="00F10AB6" w:rsidRPr="001171F6" w:rsidRDefault="001171F6" w:rsidP="00DF692F">
            <w:pPr>
              <w:spacing w:before="80" w:after="80" w:line="247" w:lineRule="auto"/>
              <w:jc w:val="center"/>
              <w:rPr>
                <w:b/>
                <w:color w:val="FFFFFF" w:themeColor="background1"/>
              </w:rPr>
            </w:pPr>
            <w:r w:rsidRPr="001171F6">
              <w:rPr>
                <w:b/>
                <w:color w:val="FFFFFF" w:themeColor="background1"/>
              </w:rPr>
              <w:t>Medium-Term</w:t>
            </w:r>
          </w:p>
        </w:tc>
        <w:tc>
          <w:tcPr>
            <w:tcW w:w="2880" w:type="dxa"/>
            <w:shd w:val="clear" w:color="auto" w:fill="0B284B"/>
          </w:tcPr>
          <w:p w14:paraId="3E39ACE6" w14:textId="38318E97" w:rsidR="00F10AB6" w:rsidRPr="001171F6" w:rsidRDefault="001171F6" w:rsidP="00DF692F">
            <w:pPr>
              <w:spacing w:before="80" w:after="80" w:line="247" w:lineRule="auto"/>
              <w:jc w:val="center"/>
              <w:rPr>
                <w:b/>
                <w:color w:val="FFFFFF" w:themeColor="background1"/>
              </w:rPr>
            </w:pPr>
            <w:r w:rsidRPr="001171F6">
              <w:rPr>
                <w:b/>
                <w:color w:val="FFFFFF" w:themeColor="background1"/>
              </w:rPr>
              <w:t>Long-Term</w:t>
            </w:r>
          </w:p>
        </w:tc>
      </w:tr>
      <w:tr w:rsidR="00F10AB6" w14:paraId="21F3F38F" w14:textId="77777777" w:rsidTr="00154A3D">
        <w:tc>
          <w:tcPr>
            <w:tcW w:w="1440" w:type="dxa"/>
          </w:tcPr>
          <w:p w14:paraId="442092AA" w14:textId="77777777" w:rsidR="00F10AB6" w:rsidRPr="00154A3D" w:rsidRDefault="00F10AB6" w:rsidP="00154A3D">
            <w:pPr>
              <w:spacing w:before="60" w:after="60" w:line="247" w:lineRule="auto"/>
              <w:ind w:left="216" w:hanging="216"/>
              <w:rPr>
                <w:b/>
                <w:bCs/>
              </w:rPr>
            </w:pPr>
            <w:r w:rsidRPr="00154A3D">
              <w:rPr>
                <w:b/>
                <w:bCs/>
              </w:rPr>
              <w:t>Shelters</w:t>
            </w:r>
          </w:p>
        </w:tc>
        <w:tc>
          <w:tcPr>
            <w:tcW w:w="2880" w:type="dxa"/>
          </w:tcPr>
          <w:p w14:paraId="30A76CA9" w14:textId="77777777" w:rsidR="00F10AB6" w:rsidRPr="005C6DB1" w:rsidRDefault="00F10AB6" w:rsidP="00154A3D">
            <w:pPr>
              <w:pStyle w:val="Bullets"/>
              <w:spacing w:before="60" w:after="60" w:line="247" w:lineRule="auto"/>
              <w:ind w:left="216" w:hanging="216"/>
            </w:pPr>
            <w:r w:rsidRPr="005C6DB1">
              <w:t>Teach, equip and apply the use of appropriate personal protective equipment and reconfigure shelter environments to promote physical distancing.</w:t>
            </w:r>
          </w:p>
          <w:p w14:paraId="22004E43" w14:textId="77777777" w:rsidR="00F10AB6" w:rsidRPr="005C6DB1" w:rsidRDefault="00F10AB6" w:rsidP="00154A3D">
            <w:pPr>
              <w:pStyle w:val="Bullets"/>
              <w:spacing w:before="60" w:after="60" w:line="247" w:lineRule="auto"/>
              <w:ind w:left="216" w:hanging="216"/>
            </w:pPr>
            <w:r w:rsidRPr="005C6DB1">
              <w:t>Shift buffet or cafeteria style food service to individually pre-packaged meals.</w:t>
            </w:r>
          </w:p>
          <w:p w14:paraId="00C72308" w14:textId="77777777" w:rsidR="00F10AB6" w:rsidRPr="005C6DB1" w:rsidRDefault="00F10AB6" w:rsidP="00154A3D">
            <w:pPr>
              <w:pStyle w:val="Bullets"/>
              <w:spacing w:before="60" w:after="60" w:line="247" w:lineRule="auto"/>
              <w:ind w:left="216" w:hanging="216"/>
            </w:pPr>
            <w:r w:rsidRPr="005C6DB1">
              <w:t>Train shelter staff on physical distancing and other safety considerations in sheltering, including administration of NarCan. Ensure access to and distribution of NarCan locally.</w:t>
            </w:r>
          </w:p>
          <w:p w14:paraId="72979057" w14:textId="77777777" w:rsidR="00F10AB6" w:rsidRPr="005C6DB1" w:rsidRDefault="00F10AB6" w:rsidP="00154A3D">
            <w:pPr>
              <w:pStyle w:val="Bullets"/>
              <w:spacing w:before="60" w:after="60" w:line="247" w:lineRule="auto"/>
              <w:ind w:left="216" w:hanging="216"/>
            </w:pPr>
            <w:r w:rsidRPr="005C6DB1">
              <w:t>Apply screening and testing protocols; examine existing shelter data to prioritize which guests may be better served in alternate settings based upon factors like symptoms, age, and/or pre-existing health vulnerabilities.</w:t>
            </w:r>
          </w:p>
          <w:p w14:paraId="3B8960C7" w14:textId="77777777" w:rsidR="00F10AB6" w:rsidRPr="005C6DB1" w:rsidRDefault="00F10AB6" w:rsidP="00154A3D">
            <w:pPr>
              <w:pStyle w:val="Bullets"/>
              <w:spacing w:before="60" w:after="60" w:line="247" w:lineRule="auto"/>
              <w:ind w:left="216" w:hanging="216"/>
            </w:pPr>
            <w:r w:rsidRPr="005C6DB1">
              <w:t>Create and distribute disease prevention materials with those who use the shelter.</w:t>
            </w:r>
          </w:p>
          <w:p w14:paraId="20528B63" w14:textId="77777777" w:rsidR="00F10AB6" w:rsidRPr="005C6DB1" w:rsidRDefault="00F10AB6" w:rsidP="00154A3D">
            <w:pPr>
              <w:pStyle w:val="Bullets"/>
              <w:spacing w:before="60" w:after="60" w:line="247" w:lineRule="auto"/>
              <w:ind w:left="216" w:hanging="216"/>
            </w:pPr>
            <w:r w:rsidRPr="005C6DB1">
              <w:t>Direct any person who is unwell to testing site or other appropriate health care resource, including on-site resources if available or possible.</w:t>
            </w:r>
          </w:p>
          <w:p w14:paraId="19BA0752" w14:textId="77777777" w:rsidR="00F10AB6" w:rsidRPr="005C6DB1" w:rsidRDefault="00F10AB6" w:rsidP="00154A3D">
            <w:pPr>
              <w:pStyle w:val="Bullets"/>
              <w:spacing w:before="60" w:after="60" w:line="247" w:lineRule="auto"/>
              <w:ind w:left="216" w:hanging="216"/>
            </w:pPr>
            <w:r w:rsidRPr="005C6DB1">
              <w:t>Create and apply safe transportation options if transportation to or from the shelter is required.</w:t>
            </w:r>
          </w:p>
          <w:p w14:paraId="10B78AAA" w14:textId="77777777" w:rsidR="00F10AB6" w:rsidRPr="005C6DB1" w:rsidRDefault="00F10AB6" w:rsidP="00154A3D">
            <w:pPr>
              <w:pStyle w:val="Bullets"/>
              <w:spacing w:before="60" w:after="60" w:line="247" w:lineRule="auto"/>
              <w:ind w:left="216" w:hanging="216"/>
            </w:pPr>
            <w:r w:rsidRPr="005C6DB1">
              <w:t>Secure and open new non-congregate settings to provide isolation/quarantine units, respite beds, alternate care settings, and temporary shelter options for others (including those who would otherwise remain unsheltered).</w:t>
            </w:r>
          </w:p>
          <w:p w14:paraId="6C4F663C" w14:textId="64CF0B7E" w:rsidR="00F10AB6" w:rsidRPr="005C6DB1" w:rsidRDefault="00F10AB6" w:rsidP="00154A3D">
            <w:pPr>
              <w:pStyle w:val="Bullets"/>
              <w:spacing w:before="60" w:after="60" w:line="247" w:lineRule="auto"/>
              <w:ind w:left="216" w:hanging="216"/>
            </w:pPr>
            <w:r w:rsidRPr="005C6DB1">
              <w:t>Ensure services are delivered in a trauma-informed and recovery</w:t>
            </w:r>
            <w:r>
              <w:t>-</w:t>
            </w:r>
            <w:r w:rsidRPr="005C6DB1">
              <w:t>oriented manner.</w:t>
            </w:r>
          </w:p>
          <w:p w14:paraId="3D11FAC4" w14:textId="77777777" w:rsidR="00F10AB6" w:rsidRPr="005C6DB1" w:rsidRDefault="00F10AB6" w:rsidP="00154A3D">
            <w:pPr>
              <w:pStyle w:val="Bullets"/>
              <w:spacing w:before="60" w:after="60" w:line="247" w:lineRule="auto"/>
              <w:ind w:left="216" w:hanging="216"/>
            </w:pPr>
            <w:r w:rsidRPr="005C6DB1">
              <w:t>Amend any procedures or policies as necessary so shelters function in a low-barrier, culturally appropriate, non-discriminatory, and readily accessible manner.</w:t>
            </w:r>
          </w:p>
          <w:p w14:paraId="75CE0B7D" w14:textId="77777777" w:rsidR="00F10AB6" w:rsidRPr="005C6DB1" w:rsidRDefault="00F10AB6" w:rsidP="00154A3D">
            <w:pPr>
              <w:pStyle w:val="Bullets"/>
              <w:spacing w:before="60" w:after="60" w:line="247" w:lineRule="auto"/>
              <w:ind w:left="216" w:hanging="216"/>
            </w:pPr>
            <w:r w:rsidRPr="005C6DB1">
              <w:t>Reduce occupancy within existing shelters, if required to align with physical distancing guidelines, by relocating all or some people to non-congregate settings.</w:t>
            </w:r>
          </w:p>
          <w:p w14:paraId="7C9BB5E3" w14:textId="77777777" w:rsidR="00F10AB6" w:rsidRPr="005C6DB1" w:rsidRDefault="00F10AB6" w:rsidP="00154A3D">
            <w:pPr>
              <w:pStyle w:val="Bullets"/>
              <w:spacing w:before="60" w:after="60" w:line="247" w:lineRule="auto"/>
              <w:ind w:left="216" w:hanging="216"/>
            </w:pPr>
            <w:r w:rsidRPr="005C6DB1">
              <w:t>Identify any shelters that need to close, in addition to any winter facilities that may have already closed.</w:t>
            </w:r>
          </w:p>
          <w:p w14:paraId="7C9DD2DA" w14:textId="77777777" w:rsidR="00F10AB6" w:rsidRPr="005C6DB1" w:rsidRDefault="00F10AB6" w:rsidP="00154A3D">
            <w:pPr>
              <w:pStyle w:val="Bullets"/>
              <w:spacing w:before="60" w:after="60" w:line="247" w:lineRule="auto"/>
              <w:ind w:left="216" w:hanging="216"/>
            </w:pPr>
            <w:r w:rsidRPr="005C6DB1">
              <w:t>Engage people with lived experience in homelessness to ensure the planned response is adequate.</w:t>
            </w:r>
          </w:p>
          <w:p w14:paraId="4DAEEC1B" w14:textId="77777777" w:rsidR="00F10AB6" w:rsidRDefault="00F10AB6" w:rsidP="00154A3D">
            <w:pPr>
              <w:pStyle w:val="Bullets"/>
              <w:spacing w:before="60" w:after="60" w:line="247" w:lineRule="auto"/>
              <w:ind w:left="216" w:hanging="216"/>
            </w:pPr>
            <w:r w:rsidRPr="005C6DB1">
              <w:t xml:space="preserve">Avoid service restrictions </w:t>
            </w:r>
            <w:proofErr w:type="gramStart"/>
            <w:r w:rsidRPr="005C6DB1">
              <w:t>if at all possible</w:t>
            </w:r>
            <w:proofErr w:type="gramEnd"/>
            <w:r w:rsidRPr="005C6DB1">
              <w:t>.</w:t>
            </w:r>
          </w:p>
          <w:p w14:paraId="4AA4ABD6" w14:textId="77777777" w:rsidR="00F10AB6" w:rsidRDefault="00F10AB6" w:rsidP="00154A3D">
            <w:pPr>
              <w:pStyle w:val="Bullets"/>
              <w:spacing w:before="60" w:after="60" w:line="247" w:lineRule="auto"/>
              <w:ind w:left="216" w:hanging="216"/>
            </w:pPr>
            <w:r w:rsidRPr="005C6DB1">
              <w:t>Implement/refine harm reduction activities to assist shelter guests who are quarantined/isolating in-place.</w:t>
            </w:r>
          </w:p>
        </w:tc>
        <w:tc>
          <w:tcPr>
            <w:tcW w:w="2880" w:type="dxa"/>
          </w:tcPr>
          <w:p w14:paraId="2A611D64" w14:textId="77777777" w:rsidR="00F10AB6" w:rsidRPr="005C6DB1" w:rsidRDefault="00F10AB6" w:rsidP="00154A3D">
            <w:pPr>
              <w:pStyle w:val="Bullets"/>
              <w:spacing w:before="60" w:after="60" w:line="247" w:lineRule="auto"/>
              <w:ind w:left="216" w:hanging="216"/>
            </w:pPr>
            <w:r w:rsidRPr="005C6DB1">
              <w:t>Increase capacity of non-congregate shelter options as necessary, especially for those who are higher-risk, and for people who are symptomatic, as well as people that need to be relocated from existing shelters to decrease occupancy rate for physical distancing requirements, and respond to unsheltered homelessness based upon uptake of shelter options.</w:t>
            </w:r>
          </w:p>
          <w:p w14:paraId="6AB14756" w14:textId="77777777" w:rsidR="00F10AB6" w:rsidRPr="005C6DB1" w:rsidRDefault="00F10AB6" w:rsidP="00154A3D">
            <w:pPr>
              <w:pStyle w:val="Bullets"/>
              <w:spacing w:before="60" w:after="60" w:line="247" w:lineRule="auto"/>
              <w:ind w:left="216" w:hanging="216"/>
            </w:pPr>
            <w:r w:rsidRPr="005C6DB1">
              <w:t>Continue to provide screening and testing and expand to meet demand as necessary.</w:t>
            </w:r>
          </w:p>
          <w:p w14:paraId="2E0AAF6C" w14:textId="77777777" w:rsidR="00F10AB6" w:rsidRPr="005C6DB1" w:rsidRDefault="00F10AB6" w:rsidP="00154A3D">
            <w:pPr>
              <w:pStyle w:val="Bullets"/>
              <w:spacing w:before="60" w:after="60" w:line="247" w:lineRule="auto"/>
              <w:ind w:left="216" w:hanging="216"/>
            </w:pPr>
            <w:r w:rsidRPr="005C6DB1">
              <w:t xml:space="preserve">Re-examine any remaining policies and procedures that are creating barriers for people to stay </w:t>
            </w:r>
            <w:proofErr w:type="gramStart"/>
            <w:r>
              <w:t>sheltered</w:t>
            </w:r>
            <w:r w:rsidRPr="005C6DB1">
              <w:t>, or</w:t>
            </w:r>
            <w:proofErr w:type="gramEnd"/>
            <w:r w:rsidRPr="005C6DB1">
              <w:t xml:space="preserve"> have resulted in service restrictions that could have been avoided.</w:t>
            </w:r>
          </w:p>
          <w:p w14:paraId="6AF87B67" w14:textId="77777777" w:rsidR="00F10AB6" w:rsidRPr="005C6DB1" w:rsidRDefault="00F10AB6" w:rsidP="00154A3D">
            <w:pPr>
              <w:pStyle w:val="Bullets"/>
              <w:spacing w:before="60" w:after="60" w:line="247" w:lineRule="auto"/>
              <w:ind w:left="216" w:hanging="216"/>
            </w:pPr>
            <w:r w:rsidRPr="005C6DB1">
              <w:t>Provide shelter or housing options for people exiting quarantine or isolation shelters and cannot return to their original location.</w:t>
            </w:r>
          </w:p>
          <w:p w14:paraId="59A30EF6" w14:textId="77777777" w:rsidR="00F10AB6" w:rsidRDefault="00F10AB6" w:rsidP="00154A3D">
            <w:pPr>
              <w:pStyle w:val="Bullets"/>
              <w:spacing w:before="60" w:after="60" w:line="247" w:lineRule="auto"/>
              <w:ind w:left="216" w:hanging="216"/>
            </w:pPr>
            <w:r w:rsidRPr="005C6DB1">
              <w:t>Assess whether equitable access to new and existing shelters is being provided.</w:t>
            </w:r>
          </w:p>
          <w:p w14:paraId="5F81C69C" w14:textId="77777777" w:rsidR="00F10AB6" w:rsidRDefault="00F10AB6" w:rsidP="00154A3D">
            <w:pPr>
              <w:pStyle w:val="Bullets"/>
              <w:spacing w:before="60" w:after="60" w:line="247" w:lineRule="auto"/>
              <w:ind w:left="216" w:hanging="216"/>
            </w:pPr>
            <w:r w:rsidRPr="005C6DB1">
              <w:t>Continue to incorporate harm reduction activities to assist shelter guests who are quarantined/isolating in-place.</w:t>
            </w:r>
          </w:p>
        </w:tc>
        <w:tc>
          <w:tcPr>
            <w:tcW w:w="2880" w:type="dxa"/>
          </w:tcPr>
          <w:p w14:paraId="10AD474F" w14:textId="77777777" w:rsidR="00F10AB6" w:rsidRPr="005C6DB1" w:rsidRDefault="00F10AB6" w:rsidP="00154A3D">
            <w:pPr>
              <w:pStyle w:val="Bullets"/>
              <w:spacing w:before="60" w:after="60" w:line="247" w:lineRule="auto"/>
              <w:ind w:left="216" w:hanging="216"/>
            </w:pPr>
            <w:r w:rsidRPr="005C6DB1">
              <w:t>If necessary, amend or increase non-congregate shelter capacity.</w:t>
            </w:r>
          </w:p>
          <w:p w14:paraId="6295661B" w14:textId="77777777" w:rsidR="00F10AB6" w:rsidRPr="005C6DB1" w:rsidRDefault="00F10AB6" w:rsidP="00154A3D">
            <w:pPr>
              <w:pStyle w:val="Bullets"/>
              <w:spacing w:before="60" w:after="60" w:line="247" w:lineRule="auto"/>
              <w:ind w:left="216" w:hanging="216"/>
            </w:pPr>
            <w:r w:rsidRPr="005C6DB1">
              <w:t xml:space="preserve">Continue monitoring, screening and testing shelter guests in both </w:t>
            </w:r>
            <w:proofErr w:type="gramStart"/>
            <w:r w:rsidRPr="005C6DB1">
              <w:t>lower-density</w:t>
            </w:r>
            <w:proofErr w:type="gramEnd"/>
            <w:r w:rsidRPr="005C6DB1">
              <w:t xml:space="preserve"> congregate and non-congregate settings.</w:t>
            </w:r>
          </w:p>
          <w:p w14:paraId="187B13CB" w14:textId="77777777" w:rsidR="00F10AB6" w:rsidRDefault="00F10AB6" w:rsidP="00154A3D">
            <w:pPr>
              <w:pStyle w:val="Bullets"/>
              <w:spacing w:before="60" w:after="60" w:line="247" w:lineRule="auto"/>
              <w:ind w:left="216" w:hanging="216"/>
            </w:pPr>
            <w:r w:rsidRPr="005C6DB1">
              <w:t>Review policies and procedures, including service restriction policies, if people are being exited from shelter or only allowed restricted access to shelter.</w:t>
            </w:r>
          </w:p>
          <w:p w14:paraId="44B3217F" w14:textId="77777777" w:rsidR="00F10AB6" w:rsidRDefault="00F10AB6" w:rsidP="00154A3D">
            <w:pPr>
              <w:pStyle w:val="Bullets"/>
              <w:spacing w:before="60" w:after="60" w:line="247" w:lineRule="auto"/>
              <w:ind w:left="216" w:hanging="216"/>
            </w:pPr>
            <w:r w:rsidRPr="005C6DB1">
              <w:t>Begin evaluation of pre-existing shelter facilities for capacity and other facility issues that will change operations moving forward with a focus on maintaining public health guidelines.</w:t>
            </w:r>
            <w:r>
              <w:t xml:space="preserve"> If not already addressed, the following activities will be paramount here:</w:t>
            </w:r>
          </w:p>
          <w:p w14:paraId="2718DB4E" w14:textId="77777777" w:rsidR="00F10AB6" w:rsidRPr="005C6DB1" w:rsidRDefault="00F10AB6" w:rsidP="00154A3D">
            <w:pPr>
              <w:pStyle w:val="Bullets-2ndlevel"/>
              <w:spacing w:before="60" w:after="60" w:line="247" w:lineRule="auto"/>
              <w:ind w:left="216" w:hanging="216"/>
            </w:pPr>
            <w:r w:rsidRPr="005C6DB1">
              <w:t xml:space="preserve">Identify any </w:t>
            </w:r>
            <w:r>
              <w:t xml:space="preserve">remaining congregate </w:t>
            </w:r>
            <w:r w:rsidRPr="005C6DB1">
              <w:t>shelter</w:t>
            </w:r>
            <w:r>
              <w:t xml:space="preserve"> spaces to modify occupancy levels and configuration for physical distancing, including plans for winter shelter operations</w:t>
            </w:r>
            <w:r w:rsidRPr="005C6DB1">
              <w:t>.</w:t>
            </w:r>
          </w:p>
          <w:p w14:paraId="7FA214D3" w14:textId="77777777" w:rsidR="00F10AB6" w:rsidRDefault="00F10AB6" w:rsidP="00154A3D">
            <w:pPr>
              <w:pStyle w:val="Bullets-2ndlevel"/>
              <w:spacing w:before="60" w:after="60" w:line="247" w:lineRule="auto"/>
              <w:ind w:left="216" w:hanging="216"/>
            </w:pPr>
            <w:r>
              <w:t>Ensure that the a</w:t>
            </w:r>
            <w:r w:rsidRPr="005C6DB1">
              <w:t>void</w:t>
            </w:r>
            <w:r>
              <w:t>ance of</w:t>
            </w:r>
            <w:r w:rsidRPr="005C6DB1">
              <w:t xml:space="preserve"> service restrictions </w:t>
            </w:r>
            <w:r>
              <w:t xml:space="preserve">at shelter operations are codified in practice and policies, </w:t>
            </w:r>
            <w:proofErr w:type="gramStart"/>
            <w:r w:rsidRPr="005C6DB1">
              <w:t>if at all possible</w:t>
            </w:r>
            <w:proofErr w:type="gramEnd"/>
            <w:r w:rsidRPr="005C6DB1">
              <w:t>.</w:t>
            </w:r>
          </w:p>
          <w:p w14:paraId="0805EC86" w14:textId="77777777" w:rsidR="00F10AB6" w:rsidRDefault="00F10AB6" w:rsidP="00154A3D">
            <w:pPr>
              <w:pStyle w:val="Bullets-2ndlevel"/>
              <w:spacing w:before="60" w:after="60" w:line="247" w:lineRule="auto"/>
              <w:ind w:left="216" w:hanging="216"/>
            </w:pPr>
            <w:r w:rsidRPr="005C6DB1">
              <w:t xml:space="preserve">Implement/refine harm reduction activities to assist shelter guests who are </w:t>
            </w:r>
            <w:r>
              <w:t>supported in congregate shelter</w:t>
            </w:r>
            <w:r w:rsidRPr="005C6DB1">
              <w:t>.</w:t>
            </w:r>
          </w:p>
          <w:p w14:paraId="664F8C8C" w14:textId="77777777" w:rsidR="00F10AB6" w:rsidRPr="005C6DB1" w:rsidRDefault="00F10AB6" w:rsidP="00154A3D">
            <w:pPr>
              <w:pStyle w:val="Bullets-2ndlevel"/>
              <w:spacing w:before="60" w:after="60" w:line="247" w:lineRule="auto"/>
              <w:ind w:left="216" w:hanging="216"/>
            </w:pPr>
            <w:r w:rsidRPr="005C6DB1">
              <w:t xml:space="preserve">Engage people with lived experience in homelessness to ensure the planned </w:t>
            </w:r>
            <w:r>
              <w:t xml:space="preserve">future shelter </w:t>
            </w:r>
            <w:r w:rsidRPr="005C6DB1">
              <w:t>response is adequate.</w:t>
            </w:r>
          </w:p>
          <w:p w14:paraId="14CFB5B9" w14:textId="77777777" w:rsidR="00F10AB6" w:rsidRDefault="00F10AB6" w:rsidP="00154A3D">
            <w:pPr>
              <w:pStyle w:val="Bullets-2ndlevel"/>
              <w:numPr>
                <w:ilvl w:val="0"/>
                <w:numId w:val="0"/>
              </w:numPr>
              <w:spacing w:before="60" w:after="60" w:line="247" w:lineRule="auto"/>
              <w:ind w:left="216" w:hanging="216"/>
            </w:pPr>
          </w:p>
        </w:tc>
        <w:tc>
          <w:tcPr>
            <w:tcW w:w="2880" w:type="dxa"/>
          </w:tcPr>
          <w:p w14:paraId="7F7B2C08" w14:textId="77777777" w:rsidR="00F10AB6" w:rsidRPr="005C6DB1" w:rsidRDefault="00F10AB6" w:rsidP="00154A3D">
            <w:pPr>
              <w:pStyle w:val="Bullets"/>
              <w:spacing w:before="60" w:after="60" w:line="247" w:lineRule="auto"/>
              <w:ind w:left="216" w:hanging="216"/>
            </w:pPr>
            <w:r w:rsidRPr="005C6DB1">
              <w:t>Implement plan on pre-pandemic shelter structure (remodeling to allow for physical distancing, shutting down, redeveloping, etc.) while simultaneously expanding non-congregate shelter facilities. Communities should avoid any net loss of beds unless trends analysis demonstrates there has been sustained lack of need.</w:t>
            </w:r>
          </w:p>
          <w:p w14:paraId="33552718" w14:textId="77777777" w:rsidR="00F10AB6" w:rsidRDefault="00F10AB6" w:rsidP="00154A3D">
            <w:pPr>
              <w:pStyle w:val="Bullets"/>
              <w:spacing w:before="60" w:after="60" w:line="247" w:lineRule="auto"/>
              <w:ind w:left="216" w:hanging="216"/>
            </w:pPr>
            <w:r w:rsidRPr="005C6DB1">
              <w:t>Begin to close surge spaces (motels, convention centres, etc.) as both housing and non-congregate sheltering options for people to move to come online.</w:t>
            </w:r>
          </w:p>
          <w:p w14:paraId="64C984AE" w14:textId="77777777" w:rsidR="00F10AB6" w:rsidRDefault="00F10AB6" w:rsidP="00154A3D">
            <w:pPr>
              <w:pStyle w:val="Bullets"/>
              <w:spacing w:before="60" w:after="60" w:line="247" w:lineRule="auto"/>
              <w:ind w:left="216" w:hanging="216"/>
            </w:pPr>
            <w:r w:rsidRPr="005C6DB1">
              <w:t>Work with shelters to ensure unrelenting housing focus moving forward, if not already in place.</w:t>
            </w:r>
          </w:p>
        </w:tc>
      </w:tr>
    </w:tbl>
    <w:p w14:paraId="26D38174" w14:textId="01EB0492" w:rsidR="00F10AB6" w:rsidRDefault="00F10AB6" w:rsidP="00F10AB6"/>
    <w:tbl>
      <w:tblPr>
        <w:tblStyle w:val="TableGrid"/>
        <w:tblW w:w="12960" w:type="dxa"/>
        <w:tblLook w:val="04A0" w:firstRow="1" w:lastRow="0" w:firstColumn="1" w:lastColumn="0" w:noHBand="0" w:noVBand="1"/>
      </w:tblPr>
      <w:tblGrid>
        <w:gridCol w:w="1440"/>
        <w:gridCol w:w="2880"/>
        <w:gridCol w:w="2880"/>
        <w:gridCol w:w="2880"/>
        <w:gridCol w:w="2880"/>
      </w:tblGrid>
      <w:tr w:rsidR="00154A3D" w:rsidRPr="001171F6" w14:paraId="7CDFC55B" w14:textId="77777777" w:rsidTr="00154A3D">
        <w:trPr>
          <w:tblHeader/>
        </w:trPr>
        <w:tc>
          <w:tcPr>
            <w:tcW w:w="1440" w:type="dxa"/>
            <w:shd w:val="clear" w:color="auto" w:fill="CCCFC9" w:themeFill="background2" w:themeFillTint="99"/>
          </w:tcPr>
          <w:p w14:paraId="79BD245E" w14:textId="77777777" w:rsidR="00154A3D" w:rsidRPr="001171F6" w:rsidRDefault="00154A3D" w:rsidP="006133B3">
            <w:pPr>
              <w:spacing w:before="80" w:after="80" w:line="247" w:lineRule="auto"/>
              <w:rPr>
                <w:b/>
                <w:color w:val="000000" w:themeColor="text1"/>
              </w:rPr>
            </w:pPr>
            <w:r w:rsidRPr="001171F6">
              <w:rPr>
                <w:b/>
                <w:color w:val="000000" w:themeColor="text1"/>
              </w:rPr>
              <w:t>Focus Area</w:t>
            </w:r>
          </w:p>
        </w:tc>
        <w:tc>
          <w:tcPr>
            <w:tcW w:w="2880" w:type="dxa"/>
            <w:shd w:val="clear" w:color="auto" w:fill="BD1E2C"/>
          </w:tcPr>
          <w:p w14:paraId="68292135" w14:textId="77777777" w:rsidR="00154A3D" w:rsidRPr="001171F6" w:rsidRDefault="00154A3D" w:rsidP="006133B3">
            <w:pPr>
              <w:spacing w:before="80" w:after="80" w:line="247" w:lineRule="auto"/>
              <w:jc w:val="center"/>
              <w:rPr>
                <w:b/>
                <w:color w:val="FFFFFF" w:themeColor="background1"/>
              </w:rPr>
            </w:pPr>
            <w:r w:rsidRPr="001171F6">
              <w:rPr>
                <w:b/>
                <w:color w:val="FFFFFF" w:themeColor="background1"/>
              </w:rPr>
              <w:t>Immediate</w:t>
            </w:r>
          </w:p>
        </w:tc>
        <w:tc>
          <w:tcPr>
            <w:tcW w:w="2880" w:type="dxa"/>
            <w:shd w:val="clear" w:color="auto" w:fill="F23D28"/>
          </w:tcPr>
          <w:p w14:paraId="0CEBE039" w14:textId="77777777" w:rsidR="00154A3D" w:rsidRPr="001171F6" w:rsidRDefault="00154A3D" w:rsidP="006133B3">
            <w:pPr>
              <w:spacing w:before="80" w:after="80" w:line="247" w:lineRule="auto"/>
              <w:jc w:val="center"/>
              <w:rPr>
                <w:b/>
                <w:color w:val="FFFFFF" w:themeColor="background1"/>
              </w:rPr>
            </w:pPr>
            <w:r w:rsidRPr="001171F6">
              <w:rPr>
                <w:b/>
                <w:color w:val="FFFFFF" w:themeColor="background1"/>
              </w:rPr>
              <w:t>Short-Term</w:t>
            </w:r>
          </w:p>
        </w:tc>
        <w:tc>
          <w:tcPr>
            <w:tcW w:w="2880" w:type="dxa"/>
            <w:shd w:val="clear" w:color="auto" w:fill="EC9D15"/>
          </w:tcPr>
          <w:p w14:paraId="5005A8BF" w14:textId="77777777" w:rsidR="00154A3D" w:rsidRPr="001171F6" w:rsidRDefault="00154A3D" w:rsidP="006133B3">
            <w:pPr>
              <w:spacing w:before="80" w:after="80" w:line="247" w:lineRule="auto"/>
              <w:jc w:val="center"/>
              <w:rPr>
                <w:b/>
                <w:color w:val="FFFFFF" w:themeColor="background1"/>
              </w:rPr>
            </w:pPr>
            <w:r w:rsidRPr="001171F6">
              <w:rPr>
                <w:b/>
                <w:color w:val="FFFFFF" w:themeColor="background1"/>
              </w:rPr>
              <w:t>Medium-Term</w:t>
            </w:r>
          </w:p>
        </w:tc>
        <w:tc>
          <w:tcPr>
            <w:tcW w:w="2880" w:type="dxa"/>
            <w:shd w:val="clear" w:color="auto" w:fill="0B284B"/>
          </w:tcPr>
          <w:p w14:paraId="04279084" w14:textId="77777777" w:rsidR="00154A3D" w:rsidRPr="001171F6" w:rsidRDefault="00154A3D" w:rsidP="006133B3">
            <w:pPr>
              <w:spacing w:before="80" w:after="80" w:line="247" w:lineRule="auto"/>
              <w:jc w:val="center"/>
              <w:rPr>
                <w:b/>
                <w:color w:val="FFFFFF" w:themeColor="background1"/>
              </w:rPr>
            </w:pPr>
            <w:r w:rsidRPr="001171F6">
              <w:rPr>
                <w:b/>
                <w:color w:val="FFFFFF" w:themeColor="background1"/>
              </w:rPr>
              <w:t>Long-Term</w:t>
            </w:r>
          </w:p>
        </w:tc>
      </w:tr>
      <w:tr w:rsidR="00F10AB6" w14:paraId="357B3C8B" w14:textId="77777777" w:rsidTr="00154A3D">
        <w:tc>
          <w:tcPr>
            <w:tcW w:w="1440" w:type="dxa"/>
          </w:tcPr>
          <w:p w14:paraId="6074FDAA" w14:textId="77777777" w:rsidR="00F10AB6" w:rsidRPr="00154A3D" w:rsidRDefault="00F10AB6" w:rsidP="00154A3D">
            <w:pPr>
              <w:spacing w:before="60" w:after="60" w:line="247" w:lineRule="auto"/>
              <w:ind w:left="216" w:hanging="216"/>
              <w:rPr>
                <w:b/>
                <w:bCs/>
              </w:rPr>
            </w:pPr>
            <w:r w:rsidRPr="00154A3D">
              <w:rPr>
                <w:b/>
                <w:bCs/>
              </w:rPr>
              <w:t>Housing</w:t>
            </w:r>
          </w:p>
        </w:tc>
        <w:tc>
          <w:tcPr>
            <w:tcW w:w="2880" w:type="dxa"/>
          </w:tcPr>
          <w:p w14:paraId="0334399B" w14:textId="77777777" w:rsidR="00F10AB6" w:rsidRPr="005C6DB1" w:rsidRDefault="00F10AB6" w:rsidP="00154A3D">
            <w:pPr>
              <w:pStyle w:val="Bullets"/>
              <w:spacing w:before="60" w:after="60" w:line="247" w:lineRule="auto"/>
              <w:ind w:left="216" w:hanging="216"/>
            </w:pPr>
            <w:r w:rsidRPr="005C6DB1">
              <w:t>Continue to support rapid resolution options for those that are newly homeless (family reunification, market rate housing, social housing, etc.).</w:t>
            </w:r>
          </w:p>
          <w:p w14:paraId="0592906E" w14:textId="77777777" w:rsidR="00F10AB6" w:rsidRPr="005C6DB1" w:rsidRDefault="00F10AB6" w:rsidP="00154A3D">
            <w:pPr>
              <w:pStyle w:val="Bullets"/>
              <w:spacing w:before="60" w:after="60" w:line="247" w:lineRule="auto"/>
              <w:ind w:left="216" w:hanging="216"/>
            </w:pPr>
            <w:r w:rsidRPr="005C6DB1">
              <w:t>Intensify efforts to house people via Coordinated Access.</w:t>
            </w:r>
          </w:p>
          <w:p w14:paraId="62BB8A60" w14:textId="77777777" w:rsidR="00F10AB6" w:rsidRPr="005C6DB1" w:rsidRDefault="00F10AB6" w:rsidP="00154A3D">
            <w:pPr>
              <w:pStyle w:val="Bullets"/>
              <w:spacing w:before="60" w:after="60" w:line="247" w:lineRule="auto"/>
              <w:ind w:left="216" w:hanging="216"/>
            </w:pPr>
            <w:r w:rsidRPr="005C6DB1">
              <w:t>Ensure those that are exiting homelessness for housing are connected to follow-up supports, as appropriate.</w:t>
            </w:r>
          </w:p>
          <w:p w14:paraId="4FB88179" w14:textId="77777777" w:rsidR="00F10AB6" w:rsidRPr="005C6DB1" w:rsidRDefault="00F10AB6" w:rsidP="00154A3D">
            <w:pPr>
              <w:pStyle w:val="Bullets"/>
              <w:spacing w:before="60" w:after="60" w:line="247" w:lineRule="auto"/>
              <w:ind w:left="216" w:hanging="216"/>
            </w:pPr>
            <w:r w:rsidRPr="005C6DB1">
              <w:t>Continue to provide in-person housing supports when properly equipped with necessary personal protective equipment; provide remote housing supports when it is not possible to safely provide supports in-person.</w:t>
            </w:r>
          </w:p>
          <w:p w14:paraId="744BCC21" w14:textId="77777777" w:rsidR="00F10AB6" w:rsidRDefault="00F10AB6" w:rsidP="00154A3D">
            <w:pPr>
              <w:pStyle w:val="Bullets"/>
              <w:spacing w:before="60" w:after="60" w:line="247" w:lineRule="auto"/>
              <w:ind w:left="216" w:hanging="216"/>
            </w:pPr>
            <w:r w:rsidRPr="005C6DB1">
              <w:t>Clearly communicate to all existing people being supported in housing what is happening with their supports, why and how to get in contact with you.</w:t>
            </w:r>
          </w:p>
          <w:p w14:paraId="1AE311A4" w14:textId="77777777" w:rsidR="00F10AB6" w:rsidRDefault="00F10AB6" w:rsidP="00154A3D">
            <w:pPr>
              <w:pStyle w:val="Bullets"/>
              <w:spacing w:before="60" w:after="60" w:line="247" w:lineRule="auto"/>
              <w:ind w:left="216" w:hanging="216"/>
            </w:pPr>
            <w:r w:rsidRPr="005C6DB1">
              <w:t>Create and disseminate communication to landlords, as appropriate, notifying them of changes in the housing support process, if any.</w:t>
            </w:r>
          </w:p>
        </w:tc>
        <w:tc>
          <w:tcPr>
            <w:tcW w:w="2880" w:type="dxa"/>
          </w:tcPr>
          <w:p w14:paraId="1428799A" w14:textId="77777777" w:rsidR="00F10AB6" w:rsidRPr="005C6DB1" w:rsidRDefault="00F10AB6" w:rsidP="00154A3D">
            <w:pPr>
              <w:pStyle w:val="Bullets"/>
              <w:spacing w:before="60" w:after="60" w:line="247" w:lineRule="auto"/>
              <w:ind w:left="216" w:hanging="216"/>
            </w:pPr>
            <w:r w:rsidRPr="005C6DB1">
              <w:t>Examine data to project demand for different types of support and housing needs.</w:t>
            </w:r>
          </w:p>
          <w:p w14:paraId="6FCDC52F" w14:textId="77777777" w:rsidR="00F10AB6" w:rsidRPr="005C6DB1" w:rsidRDefault="00F10AB6" w:rsidP="00154A3D">
            <w:pPr>
              <w:pStyle w:val="Bullets"/>
              <w:spacing w:before="60" w:after="60" w:line="247" w:lineRule="auto"/>
              <w:ind w:left="216" w:hanging="216"/>
            </w:pPr>
            <w:r w:rsidRPr="005C6DB1">
              <w:t>Ensure Coordinated Access is robustly tracking availability of housing and support opportunities and matching as expediently as possible.</w:t>
            </w:r>
          </w:p>
          <w:p w14:paraId="44129DC6" w14:textId="77777777" w:rsidR="00F10AB6" w:rsidRPr="005C6DB1" w:rsidRDefault="00F10AB6" w:rsidP="00154A3D">
            <w:pPr>
              <w:pStyle w:val="Bullets"/>
              <w:spacing w:before="60" w:after="60" w:line="247" w:lineRule="auto"/>
              <w:ind w:left="216" w:hanging="216"/>
            </w:pPr>
            <w:r w:rsidRPr="005C6DB1">
              <w:t>Begin discussions of need for more permanent housing through new builds/remodels or acquisitions.</w:t>
            </w:r>
          </w:p>
          <w:p w14:paraId="193B9EF5" w14:textId="77777777" w:rsidR="00F10AB6" w:rsidRPr="005C6DB1" w:rsidRDefault="00F10AB6" w:rsidP="00154A3D">
            <w:pPr>
              <w:pStyle w:val="Bullets"/>
              <w:spacing w:before="60" w:after="60" w:line="247" w:lineRule="auto"/>
              <w:ind w:left="216" w:hanging="216"/>
            </w:pPr>
            <w:r w:rsidRPr="005C6DB1">
              <w:t>Enhance landlord engagement activities to recruit more units.</w:t>
            </w:r>
          </w:p>
          <w:p w14:paraId="1F4DD14E" w14:textId="77777777" w:rsidR="00F10AB6" w:rsidRDefault="00F10AB6" w:rsidP="00154A3D">
            <w:pPr>
              <w:pStyle w:val="Bullets"/>
              <w:spacing w:before="60" w:after="60" w:line="247" w:lineRule="auto"/>
              <w:ind w:left="216" w:hanging="216"/>
            </w:pPr>
            <w:r w:rsidRPr="005C6DB1">
              <w:t>Monitor data to ensure that exits to housing are equitable.</w:t>
            </w:r>
          </w:p>
          <w:p w14:paraId="07636EF0" w14:textId="77777777" w:rsidR="00F10AB6" w:rsidRDefault="00F10AB6" w:rsidP="00154A3D">
            <w:pPr>
              <w:pStyle w:val="Bullets"/>
              <w:spacing w:before="60" w:after="60" w:line="247" w:lineRule="auto"/>
              <w:ind w:left="216" w:hanging="216"/>
            </w:pPr>
            <w:r w:rsidRPr="005C6DB1">
              <w:t>Ensure people that move into housing are linked to appropriate services.</w:t>
            </w:r>
          </w:p>
        </w:tc>
        <w:tc>
          <w:tcPr>
            <w:tcW w:w="2880" w:type="dxa"/>
          </w:tcPr>
          <w:p w14:paraId="0CA39940" w14:textId="77777777" w:rsidR="00F10AB6" w:rsidRPr="005C6DB1" w:rsidRDefault="00F10AB6" w:rsidP="00154A3D">
            <w:pPr>
              <w:pStyle w:val="Bullets"/>
              <w:spacing w:before="60" w:after="60" w:line="247" w:lineRule="auto"/>
              <w:ind w:left="216" w:hanging="216"/>
            </w:pPr>
            <w:r w:rsidRPr="005C6DB1">
              <w:t>Emphasize that housing is the solution to homelessness and public health concerns.</w:t>
            </w:r>
          </w:p>
          <w:p w14:paraId="7B3AD83B" w14:textId="77777777" w:rsidR="00F10AB6" w:rsidRPr="005C6DB1" w:rsidRDefault="00F10AB6" w:rsidP="00154A3D">
            <w:pPr>
              <w:pStyle w:val="Bullets"/>
              <w:spacing w:before="60" w:after="60" w:line="247" w:lineRule="auto"/>
              <w:ind w:left="216" w:hanging="216"/>
            </w:pPr>
            <w:r w:rsidRPr="005C6DB1">
              <w:t>Make amendments as necessary to Coordinated Access prioritization criteria and other processes, as necessary.</w:t>
            </w:r>
          </w:p>
          <w:p w14:paraId="1B86412D" w14:textId="77777777" w:rsidR="00F10AB6" w:rsidRPr="005C6DB1" w:rsidRDefault="00F10AB6" w:rsidP="00154A3D">
            <w:pPr>
              <w:pStyle w:val="Bullets"/>
              <w:spacing w:before="60" w:after="60" w:line="247" w:lineRule="auto"/>
              <w:ind w:left="216" w:hanging="216"/>
            </w:pPr>
            <w:r w:rsidRPr="005C6DB1">
              <w:t>Create individualized service plans for each unsheltered person that wants housing, as well as each person in a motel or non-congregate shelter, to access housing (via Coordinated Access, or if they have the means and lower service needs, independent of Coordinated Access).</w:t>
            </w:r>
          </w:p>
          <w:p w14:paraId="087F2B00" w14:textId="77777777" w:rsidR="00F10AB6" w:rsidRPr="005C6DB1" w:rsidRDefault="00F10AB6" w:rsidP="00154A3D">
            <w:pPr>
              <w:pStyle w:val="Bullets"/>
              <w:spacing w:before="60" w:after="60" w:line="247" w:lineRule="auto"/>
              <w:ind w:left="216" w:hanging="216"/>
            </w:pPr>
            <w:r w:rsidRPr="005C6DB1">
              <w:t>Enhance landlord recruitment and retention activities.</w:t>
            </w:r>
          </w:p>
          <w:p w14:paraId="11A155B3" w14:textId="77777777" w:rsidR="00F10AB6" w:rsidRPr="005C6DB1" w:rsidRDefault="00F10AB6" w:rsidP="00154A3D">
            <w:pPr>
              <w:pStyle w:val="Bullets"/>
              <w:spacing w:before="60" w:after="60" w:line="247" w:lineRule="auto"/>
              <w:ind w:left="216" w:hanging="216"/>
            </w:pPr>
            <w:r w:rsidRPr="005C6DB1">
              <w:t>Scale up intensive housing supports as necessary to assist the volume of higher-need individuals about to access housing.</w:t>
            </w:r>
          </w:p>
          <w:p w14:paraId="75617E6E" w14:textId="77777777" w:rsidR="00F10AB6" w:rsidRDefault="00F10AB6" w:rsidP="00154A3D">
            <w:pPr>
              <w:pStyle w:val="Bullets"/>
              <w:spacing w:before="60" w:after="60" w:line="247" w:lineRule="auto"/>
              <w:ind w:left="216" w:hanging="216"/>
            </w:pPr>
            <w:r w:rsidRPr="005C6DB1">
              <w:t>Coordinate the administration of all types of housing subsidies from one location if possible.</w:t>
            </w:r>
          </w:p>
          <w:p w14:paraId="383C29F6" w14:textId="77777777" w:rsidR="00F10AB6" w:rsidRDefault="00F10AB6" w:rsidP="00154A3D">
            <w:pPr>
              <w:pStyle w:val="Bullets"/>
              <w:spacing w:before="60" w:after="60" w:line="247" w:lineRule="auto"/>
              <w:ind w:left="216" w:hanging="216"/>
            </w:pPr>
            <w:r w:rsidRPr="005C6DB1">
              <w:t>Update housing need projections.</w:t>
            </w:r>
          </w:p>
        </w:tc>
        <w:tc>
          <w:tcPr>
            <w:tcW w:w="2880" w:type="dxa"/>
          </w:tcPr>
          <w:p w14:paraId="7722A0B3" w14:textId="77777777" w:rsidR="00F10AB6" w:rsidRPr="005C6DB1" w:rsidRDefault="00F10AB6" w:rsidP="00154A3D">
            <w:pPr>
              <w:pStyle w:val="Bullets"/>
              <w:spacing w:before="60" w:after="60" w:line="247" w:lineRule="auto"/>
              <w:ind w:left="216" w:hanging="216"/>
            </w:pPr>
            <w:r w:rsidRPr="005C6DB1">
              <w:t>Continue to connect people to housing supports based upon their specific needs/acuity.</w:t>
            </w:r>
          </w:p>
          <w:p w14:paraId="067BE72C" w14:textId="77777777" w:rsidR="00F10AB6" w:rsidRDefault="00F10AB6" w:rsidP="00154A3D">
            <w:pPr>
              <w:pStyle w:val="Bullets"/>
              <w:spacing w:before="60" w:after="60" w:line="247" w:lineRule="auto"/>
              <w:ind w:left="216" w:hanging="216"/>
            </w:pPr>
            <w:r w:rsidRPr="005C6DB1">
              <w:t>Continue to implement plans to expand supportive housing options.</w:t>
            </w:r>
          </w:p>
          <w:p w14:paraId="5A602513" w14:textId="77777777" w:rsidR="00F10AB6" w:rsidRDefault="00F10AB6" w:rsidP="00154A3D">
            <w:pPr>
              <w:pStyle w:val="Bullets"/>
              <w:spacing w:before="60" w:after="60" w:line="247" w:lineRule="auto"/>
              <w:ind w:left="216" w:hanging="216"/>
            </w:pPr>
            <w:r w:rsidRPr="005C6DB1">
              <w:t>Begin assessing interest and commitments from multiple sectors to support housing investment across various affordability levels based upon projections.</w:t>
            </w:r>
          </w:p>
        </w:tc>
      </w:tr>
    </w:tbl>
    <w:p w14:paraId="53CE76E3" w14:textId="2C86D7D9" w:rsidR="00F10AB6" w:rsidRDefault="00F10AB6" w:rsidP="00F10AB6"/>
    <w:tbl>
      <w:tblPr>
        <w:tblStyle w:val="TableGrid"/>
        <w:tblW w:w="12960" w:type="dxa"/>
        <w:tblLook w:val="04A0" w:firstRow="1" w:lastRow="0" w:firstColumn="1" w:lastColumn="0" w:noHBand="0" w:noVBand="1"/>
      </w:tblPr>
      <w:tblGrid>
        <w:gridCol w:w="1440"/>
        <w:gridCol w:w="2880"/>
        <w:gridCol w:w="2880"/>
        <w:gridCol w:w="2880"/>
        <w:gridCol w:w="2880"/>
      </w:tblGrid>
      <w:tr w:rsidR="00154A3D" w:rsidRPr="001171F6" w14:paraId="423CD066" w14:textId="77777777" w:rsidTr="00154A3D">
        <w:trPr>
          <w:tblHeader/>
        </w:trPr>
        <w:tc>
          <w:tcPr>
            <w:tcW w:w="1440" w:type="dxa"/>
            <w:shd w:val="clear" w:color="auto" w:fill="CCCFC9" w:themeFill="background2" w:themeFillTint="99"/>
          </w:tcPr>
          <w:p w14:paraId="75452FA7" w14:textId="77777777" w:rsidR="00154A3D" w:rsidRPr="001171F6" w:rsidRDefault="00154A3D" w:rsidP="006133B3">
            <w:pPr>
              <w:spacing w:before="80" w:after="80" w:line="247" w:lineRule="auto"/>
              <w:rPr>
                <w:b/>
                <w:color w:val="000000" w:themeColor="text1"/>
              </w:rPr>
            </w:pPr>
            <w:r w:rsidRPr="001171F6">
              <w:rPr>
                <w:b/>
                <w:color w:val="000000" w:themeColor="text1"/>
              </w:rPr>
              <w:t>Focus Area</w:t>
            </w:r>
          </w:p>
        </w:tc>
        <w:tc>
          <w:tcPr>
            <w:tcW w:w="2880" w:type="dxa"/>
            <w:shd w:val="clear" w:color="auto" w:fill="BD1E2C"/>
          </w:tcPr>
          <w:p w14:paraId="7A42161F" w14:textId="77777777" w:rsidR="00154A3D" w:rsidRPr="001171F6" w:rsidRDefault="00154A3D" w:rsidP="006133B3">
            <w:pPr>
              <w:spacing w:before="80" w:after="80" w:line="247" w:lineRule="auto"/>
              <w:jc w:val="center"/>
              <w:rPr>
                <w:b/>
                <w:color w:val="FFFFFF" w:themeColor="background1"/>
              </w:rPr>
            </w:pPr>
            <w:r w:rsidRPr="001171F6">
              <w:rPr>
                <w:b/>
                <w:color w:val="FFFFFF" w:themeColor="background1"/>
              </w:rPr>
              <w:t>Immediate</w:t>
            </w:r>
          </w:p>
        </w:tc>
        <w:tc>
          <w:tcPr>
            <w:tcW w:w="2880" w:type="dxa"/>
            <w:shd w:val="clear" w:color="auto" w:fill="F23D28"/>
          </w:tcPr>
          <w:p w14:paraId="54579839" w14:textId="77777777" w:rsidR="00154A3D" w:rsidRPr="001171F6" w:rsidRDefault="00154A3D" w:rsidP="006133B3">
            <w:pPr>
              <w:spacing w:before="80" w:after="80" w:line="247" w:lineRule="auto"/>
              <w:jc w:val="center"/>
              <w:rPr>
                <w:b/>
                <w:color w:val="FFFFFF" w:themeColor="background1"/>
              </w:rPr>
            </w:pPr>
            <w:r w:rsidRPr="001171F6">
              <w:rPr>
                <w:b/>
                <w:color w:val="FFFFFF" w:themeColor="background1"/>
              </w:rPr>
              <w:t>Short-Term</w:t>
            </w:r>
          </w:p>
        </w:tc>
        <w:tc>
          <w:tcPr>
            <w:tcW w:w="2880" w:type="dxa"/>
            <w:shd w:val="clear" w:color="auto" w:fill="EC9D15"/>
          </w:tcPr>
          <w:p w14:paraId="3F77B160" w14:textId="77777777" w:rsidR="00154A3D" w:rsidRPr="001171F6" w:rsidRDefault="00154A3D" w:rsidP="006133B3">
            <w:pPr>
              <w:spacing w:before="80" w:after="80" w:line="247" w:lineRule="auto"/>
              <w:jc w:val="center"/>
              <w:rPr>
                <w:b/>
                <w:color w:val="FFFFFF" w:themeColor="background1"/>
              </w:rPr>
            </w:pPr>
            <w:r w:rsidRPr="001171F6">
              <w:rPr>
                <w:b/>
                <w:color w:val="FFFFFF" w:themeColor="background1"/>
              </w:rPr>
              <w:t>Medium-Term</w:t>
            </w:r>
          </w:p>
        </w:tc>
        <w:tc>
          <w:tcPr>
            <w:tcW w:w="2880" w:type="dxa"/>
            <w:shd w:val="clear" w:color="auto" w:fill="0B284B"/>
          </w:tcPr>
          <w:p w14:paraId="6DDC9493" w14:textId="77777777" w:rsidR="00154A3D" w:rsidRPr="001171F6" w:rsidRDefault="00154A3D" w:rsidP="006133B3">
            <w:pPr>
              <w:spacing w:before="80" w:after="80" w:line="247" w:lineRule="auto"/>
              <w:jc w:val="center"/>
              <w:rPr>
                <w:b/>
                <w:color w:val="FFFFFF" w:themeColor="background1"/>
              </w:rPr>
            </w:pPr>
            <w:r w:rsidRPr="001171F6">
              <w:rPr>
                <w:b/>
                <w:color w:val="FFFFFF" w:themeColor="background1"/>
              </w:rPr>
              <w:t>Long-Term</w:t>
            </w:r>
          </w:p>
        </w:tc>
      </w:tr>
      <w:tr w:rsidR="00F10AB6" w14:paraId="413FF281" w14:textId="77777777" w:rsidTr="00154A3D">
        <w:tc>
          <w:tcPr>
            <w:tcW w:w="1440" w:type="dxa"/>
          </w:tcPr>
          <w:p w14:paraId="65CFADFF" w14:textId="77777777" w:rsidR="00F10AB6" w:rsidRPr="00154A3D" w:rsidRDefault="00F10AB6" w:rsidP="00154A3D">
            <w:pPr>
              <w:spacing w:before="60" w:after="60" w:line="247" w:lineRule="auto"/>
              <w:rPr>
                <w:b/>
                <w:bCs/>
              </w:rPr>
            </w:pPr>
            <w:r w:rsidRPr="00154A3D">
              <w:rPr>
                <w:b/>
                <w:bCs/>
              </w:rPr>
              <w:t>Prevention and Diversion</w:t>
            </w:r>
          </w:p>
        </w:tc>
        <w:tc>
          <w:tcPr>
            <w:tcW w:w="2880" w:type="dxa"/>
          </w:tcPr>
          <w:p w14:paraId="6B52F9CF" w14:textId="77777777" w:rsidR="00F10AB6" w:rsidRPr="005C6DB1" w:rsidRDefault="00F10AB6" w:rsidP="00154A3D">
            <w:pPr>
              <w:pStyle w:val="Bullets"/>
              <w:spacing w:before="60" w:after="60" w:line="247" w:lineRule="auto"/>
              <w:ind w:left="216" w:hanging="216"/>
            </w:pPr>
            <w:r w:rsidRPr="005C6DB1">
              <w:t>Implement moratoria on evictions jurisdiction-wide</w:t>
            </w:r>
            <w:r>
              <w:t>, if possible</w:t>
            </w:r>
            <w:r w:rsidRPr="005C6DB1">
              <w:t>.</w:t>
            </w:r>
          </w:p>
          <w:p w14:paraId="694662CC" w14:textId="77777777" w:rsidR="00F10AB6" w:rsidRDefault="00F10AB6" w:rsidP="00154A3D">
            <w:pPr>
              <w:pStyle w:val="Bullets"/>
              <w:spacing w:before="60" w:after="60" w:line="247" w:lineRule="auto"/>
              <w:ind w:left="216" w:hanging="216"/>
            </w:pPr>
            <w:r w:rsidRPr="005C6DB1">
              <w:t>Focus supports on persons and families housed through any existing housing programs for homeless persons to ensure they are stable and have their needs met at this time.</w:t>
            </w:r>
          </w:p>
          <w:p w14:paraId="4C491BD4" w14:textId="77777777" w:rsidR="00F10AB6" w:rsidRDefault="00F10AB6" w:rsidP="00154A3D">
            <w:pPr>
              <w:pStyle w:val="Bullets"/>
              <w:spacing w:before="60" w:after="60" w:line="247" w:lineRule="auto"/>
              <w:ind w:left="216" w:hanging="216"/>
            </w:pPr>
            <w:r w:rsidRPr="005C6DB1">
              <w:t xml:space="preserve">Deliver eviction prevention and shelter diversion activities using an evidence informed approach, including a needs assessment to prioritize households with the greatest risk of entering homelessness. Access OrgCode’s webinar on </w:t>
            </w:r>
            <w:hyperlink r:id="rId16" w:history="1">
              <w:r w:rsidRPr="00BC70BA">
                <w:rPr>
                  <w:rStyle w:val="Hyperlink"/>
                  <w:sz w:val="22"/>
                </w:rPr>
                <w:t>prevention and diversion during COVID-19</w:t>
              </w:r>
            </w:hyperlink>
            <w:r w:rsidRPr="005C6DB1">
              <w:t xml:space="preserve"> for more considerations.</w:t>
            </w:r>
          </w:p>
        </w:tc>
        <w:tc>
          <w:tcPr>
            <w:tcW w:w="2880" w:type="dxa"/>
          </w:tcPr>
          <w:p w14:paraId="2BBD6730" w14:textId="77777777" w:rsidR="00F10AB6" w:rsidRPr="005C6DB1" w:rsidRDefault="00F10AB6" w:rsidP="00154A3D">
            <w:pPr>
              <w:pStyle w:val="Bullets"/>
              <w:spacing w:before="60" w:after="60" w:line="247" w:lineRule="auto"/>
              <w:ind w:left="216" w:hanging="216"/>
            </w:pPr>
            <w:r w:rsidRPr="005C6DB1">
              <w:t>Adjust volume of supports in housing as existing tenants adjust to new reality.</w:t>
            </w:r>
          </w:p>
          <w:p w14:paraId="1C2C67BE" w14:textId="77777777" w:rsidR="00F10AB6" w:rsidRPr="005C6DB1" w:rsidRDefault="00F10AB6" w:rsidP="00154A3D">
            <w:pPr>
              <w:pStyle w:val="Bullets"/>
              <w:spacing w:before="60" w:after="60" w:line="247" w:lineRule="auto"/>
              <w:ind w:left="216" w:hanging="216"/>
            </w:pPr>
            <w:r w:rsidRPr="005C6DB1">
              <w:t>Prioritize supports to existing tenants that are at a higher risk of re-entry into homelessness. Identify if type and intensity of supports need to be different from pre-pandemic supports.</w:t>
            </w:r>
          </w:p>
          <w:p w14:paraId="6E94AC8D" w14:textId="77777777" w:rsidR="00F10AB6" w:rsidRDefault="00F10AB6" w:rsidP="00154A3D">
            <w:pPr>
              <w:pStyle w:val="Bullets"/>
              <w:spacing w:before="60" w:after="60" w:line="247" w:lineRule="auto"/>
              <w:ind w:left="216" w:hanging="216"/>
            </w:pPr>
            <w:r w:rsidRPr="005C6DB1">
              <w:t>Enhance front door diversion activities at each shelter, or for the entire shelter system to prevent people from experiencing homelessness.</w:t>
            </w:r>
          </w:p>
          <w:p w14:paraId="58AC96D5" w14:textId="77777777" w:rsidR="00F10AB6" w:rsidRDefault="00F10AB6" w:rsidP="00154A3D">
            <w:pPr>
              <w:pStyle w:val="Bullets"/>
              <w:spacing w:before="60" w:after="60" w:line="247" w:lineRule="auto"/>
              <w:ind w:left="216" w:hanging="216"/>
            </w:pPr>
            <w:r w:rsidRPr="005C6DB1">
              <w:t>Identify/dedicate investments for eviction prevention for people housed through any of the community’s re-housing housing and support programs.</w:t>
            </w:r>
          </w:p>
        </w:tc>
        <w:tc>
          <w:tcPr>
            <w:tcW w:w="2880" w:type="dxa"/>
          </w:tcPr>
          <w:p w14:paraId="70233BB9" w14:textId="77777777" w:rsidR="00F10AB6" w:rsidRPr="005C6DB1" w:rsidRDefault="00F10AB6" w:rsidP="00154A3D">
            <w:pPr>
              <w:pStyle w:val="Bullets"/>
              <w:spacing w:before="60" w:after="60" w:line="247" w:lineRule="auto"/>
              <w:ind w:left="216" w:hanging="216"/>
            </w:pPr>
            <w:r w:rsidRPr="005C6DB1">
              <w:t>Put in place “front door” diversion and prevention resources system-wide, with flexible financial resources to customize problem-solving action steps for each person/family, where possible.</w:t>
            </w:r>
          </w:p>
          <w:p w14:paraId="12B719F4" w14:textId="77777777" w:rsidR="00F10AB6" w:rsidRPr="005C6DB1" w:rsidRDefault="00F10AB6" w:rsidP="00154A3D">
            <w:pPr>
              <w:pStyle w:val="Bullets"/>
              <w:spacing w:before="60" w:after="60" w:line="247" w:lineRule="auto"/>
              <w:ind w:left="216" w:hanging="216"/>
            </w:pPr>
            <w:r w:rsidRPr="005C6DB1">
              <w:t xml:space="preserve">Focus eviction prevention services on those with very low-income. If there is </w:t>
            </w:r>
            <w:proofErr w:type="gramStart"/>
            <w:r w:rsidRPr="005C6DB1">
              <w:t>a large number of</w:t>
            </w:r>
            <w:proofErr w:type="gramEnd"/>
            <w:r w:rsidRPr="005C6DB1">
              <w:t xml:space="preserve"> low-income people applying, prioritize applicants by other higher need criteria.</w:t>
            </w:r>
          </w:p>
          <w:p w14:paraId="156B4EEE" w14:textId="77777777" w:rsidR="00F10AB6" w:rsidRDefault="00F10AB6" w:rsidP="00154A3D">
            <w:pPr>
              <w:pStyle w:val="Bullets"/>
              <w:spacing w:before="60" w:after="60" w:line="247" w:lineRule="auto"/>
              <w:ind w:left="216" w:hanging="216"/>
            </w:pPr>
            <w:r w:rsidRPr="005C6DB1">
              <w:t xml:space="preserve">Work with </w:t>
            </w:r>
            <w:r>
              <w:t>Provincial/T</w:t>
            </w:r>
            <w:r w:rsidRPr="005C6DB1">
              <w:t>erritorial income support programs to partner on prevention and support activities. Standardized approaches to prevention and diversion remains important.</w:t>
            </w:r>
          </w:p>
          <w:p w14:paraId="50BFB728" w14:textId="77777777" w:rsidR="00F10AB6" w:rsidRDefault="00F10AB6" w:rsidP="00154A3D">
            <w:pPr>
              <w:pStyle w:val="Bullets"/>
              <w:spacing w:before="60" w:after="60" w:line="247" w:lineRule="auto"/>
              <w:ind w:left="216" w:hanging="216"/>
            </w:pPr>
            <w:r w:rsidRPr="005C6DB1">
              <w:t>Work with child welfare, corrections and health care institutions to improve discharge planning and reduce the inflow into the homeless serving sector.</w:t>
            </w:r>
          </w:p>
        </w:tc>
        <w:tc>
          <w:tcPr>
            <w:tcW w:w="2880" w:type="dxa"/>
          </w:tcPr>
          <w:p w14:paraId="65E26A4C" w14:textId="77777777" w:rsidR="00F10AB6" w:rsidRPr="005C6DB1" w:rsidRDefault="00F10AB6" w:rsidP="00154A3D">
            <w:pPr>
              <w:pStyle w:val="Bullets"/>
              <w:spacing w:before="60" w:after="60" w:line="247" w:lineRule="auto"/>
              <w:ind w:left="216" w:hanging="216"/>
            </w:pPr>
            <w:r w:rsidRPr="005C6DB1">
              <w:t>Assess and strengthen system-wide diversion and prevention implementation.</w:t>
            </w:r>
          </w:p>
          <w:p w14:paraId="3A14CD9C" w14:textId="77777777" w:rsidR="00F10AB6" w:rsidRDefault="00F10AB6" w:rsidP="00154A3D">
            <w:pPr>
              <w:pStyle w:val="Bullets"/>
              <w:spacing w:before="60" w:after="60" w:line="247" w:lineRule="auto"/>
              <w:ind w:left="216" w:hanging="216"/>
            </w:pPr>
            <w:r w:rsidRPr="005C6DB1">
              <w:t>Continue to support people who have exited homelessness with customized case management.</w:t>
            </w:r>
          </w:p>
          <w:p w14:paraId="4B20B802" w14:textId="77777777" w:rsidR="00F10AB6" w:rsidRDefault="00F10AB6" w:rsidP="00154A3D">
            <w:pPr>
              <w:pStyle w:val="Bullets"/>
              <w:spacing w:before="60" w:after="60" w:line="247" w:lineRule="auto"/>
              <w:ind w:left="216" w:hanging="216"/>
            </w:pPr>
            <w:r w:rsidRPr="005C6DB1">
              <w:t>If prevention needs of low</w:t>
            </w:r>
            <w:r>
              <w:t>-</w:t>
            </w:r>
            <w:r w:rsidRPr="005C6DB1">
              <w:t>income people have been sufficiently met, expand income eligibility criteria for eviction prevention assistance to include moderate incomes.</w:t>
            </w:r>
          </w:p>
        </w:tc>
        <w:bookmarkStart w:id="7" w:name="_GoBack"/>
        <w:bookmarkEnd w:id="7"/>
      </w:tr>
    </w:tbl>
    <w:p w14:paraId="4D47072B" w14:textId="4C136B96" w:rsidR="00F10AB6" w:rsidRDefault="00F10AB6" w:rsidP="00F10AB6"/>
    <w:tbl>
      <w:tblPr>
        <w:tblStyle w:val="TableGrid"/>
        <w:tblW w:w="12960" w:type="dxa"/>
        <w:tblLook w:val="04A0" w:firstRow="1" w:lastRow="0" w:firstColumn="1" w:lastColumn="0" w:noHBand="0" w:noVBand="1"/>
      </w:tblPr>
      <w:tblGrid>
        <w:gridCol w:w="1508"/>
        <w:gridCol w:w="2866"/>
        <w:gridCol w:w="2862"/>
        <w:gridCol w:w="2862"/>
        <w:gridCol w:w="2862"/>
      </w:tblGrid>
      <w:tr w:rsidR="00154A3D" w:rsidRPr="001171F6" w14:paraId="2E2B109A" w14:textId="77777777" w:rsidTr="006E0F7D">
        <w:trPr>
          <w:tblHeader/>
        </w:trPr>
        <w:tc>
          <w:tcPr>
            <w:tcW w:w="1440" w:type="dxa"/>
            <w:shd w:val="clear" w:color="auto" w:fill="CCCFC9" w:themeFill="background2" w:themeFillTint="99"/>
          </w:tcPr>
          <w:p w14:paraId="4E7B732C" w14:textId="77777777" w:rsidR="00154A3D" w:rsidRPr="001171F6" w:rsidRDefault="00154A3D" w:rsidP="006133B3">
            <w:pPr>
              <w:spacing w:before="80" w:after="80" w:line="247" w:lineRule="auto"/>
              <w:rPr>
                <w:b/>
                <w:color w:val="000000" w:themeColor="text1"/>
              </w:rPr>
            </w:pPr>
            <w:r w:rsidRPr="001171F6">
              <w:rPr>
                <w:b/>
                <w:color w:val="000000" w:themeColor="text1"/>
              </w:rPr>
              <w:t>Focus Area</w:t>
            </w:r>
          </w:p>
        </w:tc>
        <w:tc>
          <w:tcPr>
            <w:tcW w:w="2880" w:type="dxa"/>
            <w:shd w:val="clear" w:color="auto" w:fill="BD1E2C"/>
          </w:tcPr>
          <w:p w14:paraId="70FE3CA5" w14:textId="77777777" w:rsidR="00154A3D" w:rsidRPr="001171F6" w:rsidRDefault="00154A3D" w:rsidP="006133B3">
            <w:pPr>
              <w:spacing w:before="80" w:after="80" w:line="247" w:lineRule="auto"/>
              <w:jc w:val="center"/>
              <w:rPr>
                <w:b/>
                <w:color w:val="FFFFFF" w:themeColor="background1"/>
              </w:rPr>
            </w:pPr>
            <w:r w:rsidRPr="001171F6">
              <w:rPr>
                <w:b/>
                <w:color w:val="FFFFFF" w:themeColor="background1"/>
              </w:rPr>
              <w:t>Immediate</w:t>
            </w:r>
          </w:p>
        </w:tc>
        <w:tc>
          <w:tcPr>
            <w:tcW w:w="2880" w:type="dxa"/>
            <w:shd w:val="clear" w:color="auto" w:fill="F23D28"/>
          </w:tcPr>
          <w:p w14:paraId="6469701D" w14:textId="77777777" w:rsidR="00154A3D" w:rsidRPr="001171F6" w:rsidRDefault="00154A3D" w:rsidP="006133B3">
            <w:pPr>
              <w:spacing w:before="80" w:after="80" w:line="247" w:lineRule="auto"/>
              <w:jc w:val="center"/>
              <w:rPr>
                <w:b/>
                <w:color w:val="FFFFFF" w:themeColor="background1"/>
              </w:rPr>
            </w:pPr>
            <w:r w:rsidRPr="001171F6">
              <w:rPr>
                <w:b/>
                <w:color w:val="FFFFFF" w:themeColor="background1"/>
              </w:rPr>
              <w:t>Short-Term</w:t>
            </w:r>
          </w:p>
        </w:tc>
        <w:tc>
          <w:tcPr>
            <w:tcW w:w="2880" w:type="dxa"/>
            <w:shd w:val="clear" w:color="auto" w:fill="EC9D15"/>
          </w:tcPr>
          <w:p w14:paraId="3BFEF136" w14:textId="77777777" w:rsidR="00154A3D" w:rsidRPr="001171F6" w:rsidRDefault="00154A3D" w:rsidP="006133B3">
            <w:pPr>
              <w:spacing w:before="80" w:after="80" w:line="247" w:lineRule="auto"/>
              <w:jc w:val="center"/>
              <w:rPr>
                <w:b/>
                <w:color w:val="FFFFFF" w:themeColor="background1"/>
              </w:rPr>
            </w:pPr>
            <w:r w:rsidRPr="001171F6">
              <w:rPr>
                <w:b/>
                <w:color w:val="FFFFFF" w:themeColor="background1"/>
              </w:rPr>
              <w:t>Medium-Term</w:t>
            </w:r>
          </w:p>
        </w:tc>
        <w:tc>
          <w:tcPr>
            <w:tcW w:w="2880" w:type="dxa"/>
            <w:shd w:val="clear" w:color="auto" w:fill="0B284B"/>
          </w:tcPr>
          <w:p w14:paraId="3E7874F1" w14:textId="77777777" w:rsidR="00154A3D" w:rsidRPr="001171F6" w:rsidRDefault="00154A3D" w:rsidP="006133B3">
            <w:pPr>
              <w:spacing w:before="80" w:after="80" w:line="247" w:lineRule="auto"/>
              <w:jc w:val="center"/>
              <w:rPr>
                <w:b/>
                <w:color w:val="FFFFFF" w:themeColor="background1"/>
              </w:rPr>
            </w:pPr>
            <w:r w:rsidRPr="001171F6">
              <w:rPr>
                <w:b/>
                <w:color w:val="FFFFFF" w:themeColor="background1"/>
              </w:rPr>
              <w:t>Long-Term</w:t>
            </w:r>
          </w:p>
        </w:tc>
      </w:tr>
      <w:tr w:rsidR="00F10AB6" w14:paraId="06D190BB" w14:textId="77777777" w:rsidTr="006E0F7D">
        <w:tc>
          <w:tcPr>
            <w:tcW w:w="1440" w:type="dxa"/>
          </w:tcPr>
          <w:p w14:paraId="3310B03E" w14:textId="77777777" w:rsidR="00F10AB6" w:rsidRPr="00154A3D" w:rsidRDefault="00F10AB6" w:rsidP="00154A3D">
            <w:pPr>
              <w:spacing w:before="60" w:after="60" w:line="247" w:lineRule="auto"/>
              <w:rPr>
                <w:b/>
                <w:bCs/>
              </w:rPr>
            </w:pPr>
            <w:r w:rsidRPr="00154A3D">
              <w:rPr>
                <w:b/>
                <w:bCs/>
              </w:rPr>
              <w:t>Strengthening the System of Care</w:t>
            </w:r>
          </w:p>
        </w:tc>
        <w:tc>
          <w:tcPr>
            <w:tcW w:w="2880" w:type="dxa"/>
          </w:tcPr>
          <w:p w14:paraId="224600CF" w14:textId="77777777" w:rsidR="00F10AB6" w:rsidRPr="005C6DB1" w:rsidRDefault="00F10AB6" w:rsidP="00154A3D">
            <w:pPr>
              <w:pStyle w:val="Bullets"/>
              <w:spacing w:before="60" w:after="60" w:line="247" w:lineRule="auto"/>
              <w:ind w:left="216" w:hanging="216"/>
            </w:pPr>
            <w:r w:rsidRPr="005C6DB1">
              <w:t>Integrate the homeless response with the broader public health response.</w:t>
            </w:r>
          </w:p>
          <w:p w14:paraId="7299C735" w14:textId="77777777" w:rsidR="00F10AB6" w:rsidRPr="005C6DB1" w:rsidRDefault="00F10AB6" w:rsidP="00154A3D">
            <w:pPr>
              <w:pStyle w:val="Bullets"/>
              <w:spacing w:before="60" w:after="60" w:line="247" w:lineRule="auto"/>
              <w:ind w:left="216" w:hanging="216"/>
            </w:pPr>
            <w:r w:rsidRPr="005C6DB1">
              <w:t>Ensure HIFIS, HMIS or comparable database is being used to capture the data of enhanced capacity, service modifications and a tracking of inflow and outflow within the homelessness response system.</w:t>
            </w:r>
          </w:p>
          <w:p w14:paraId="107C3D6F" w14:textId="77777777" w:rsidR="00F10AB6" w:rsidRPr="005C6DB1" w:rsidRDefault="00F10AB6" w:rsidP="00154A3D">
            <w:pPr>
              <w:pStyle w:val="Bullets"/>
              <w:spacing w:before="60" w:after="60" w:line="247" w:lineRule="auto"/>
              <w:ind w:left="216" w:hanging="216"/>
            </w:pPr>
            <w:r w:rsidRPr="005C6DB1">
              <w:t>Engage people with lived experience to gather information on challenges and opportunities for enhancements.</w:t>
            </w:r>
          </w:p>
          <w:p w14:paraId="094D8480" w14:textId="77777777" w:rsidR="00F10AB6" w:rsidRPr="005C6DB1" w:rsidRDefault="00F10AB6" w:rsidP="00154A3D">
            <w:pPr>
              <w:pStyle w:val="Bullets"/>
              <w:spacing w:before="60" w:after="60" w:line="247" w:lineRule="auto"/>
              <w:ind w:left="216" w:hanging="216"/>
            </w:pPr>
            <w:r w:rsidRPr="005C6DB1">
              <w:t>Document and assess the impact of COVID-19 on already marginalized and vulnerable communities such as Indigenous persons who are homeless.</w:t>
            </w:r>
          </w:p>
          <w:p w14:paraId="7DE0C650" w14:textId="77777777" w:rsidR="00F10AB6" w:rsidRDefault="00F10AB6" w:rsidP="00154A3D">
            <w:pPr>
              <w:pStyle w:val="Bullets"/>
              <w:spacing w:before="60" w:after="60" w:line="247" w:lineRule="auto"/>
              <w:ind w:left="216" w:hanging="216"/>
            </w:pPr>
            <w:r w:rsidRPr="005C6DB1">
              <w:t>Ensure strategies and communications have broad geographic reach.</w:t>
            </w:r>
          </w:p>
          <w:p w14:paraId="3324E486" w14:textId="77777777" w:rsidR="00F10AB6" w:rsidRDefault="00F10AB6" w:rsidP="00154A3D">
            <w:pPr>
              <w:pStyle w:val="Bullets"/>
              <w:spacing w:before="60" w:after="60" w:line="247" w:lineRule="auto"/>
              <w:ind w:left="216" w:hanging="216"/>
            </w:pPr>
            <w:r w:rsidRPr="005C6DB1">
              <w:t>Begin noting those elements of the homelessness response system that will be impossible to operate as it previously did, at least until such time as there is a vaccine.</w:t>
            </w:r>
          </w:p>
        </w:tc>
        <w:tc>
          <w:tcPr>
            <w:tcW w:w="2880" w:type="dxa"/>
          </w:tcPr>
          <w:p w14:paraId="295FAD17" w14:textId="77777777" w:rsidR="00F10AB6" w:rsidRPr="005C6DB1" w:rsidRDefault="00F10AB6" w:rsidP="00154A3D">
            <w:pPr>
              <w:pStyle w:val="Bullets"/>
              <w:spacing w:before="60" w:after="60" w:line="247" w:lineRule="auto"/>
              <w:ind w:left="216" w:hanging="216"/>
            </w:pPr>
            <w:r w:rsidRPr="005C6DB1">
              <w:t>Promote equity-based decision making within intersectoral partnerships.</w:t>
            </w:r>
          </w:p>
          <w:p w14:paraId="56801EF9" w14:textId="77777777" w:rsidR="00F10AB6" w:rsidRPr="005C6DB1" w:rsidRDefault="00F10AB6" w:rsidP="00154A3D">
            <w:pPr>
              <w:pStyle w:val="Bullets"/>
              <w:spacing w:before="60" w:after="60" w:line="247" w:lineRule="auto"/>
              <w:ind w:left="216" w:hanging="216"/>
            </w:pPr>
            <w:r w:rsidRPr="005C6DB1">
              <w:t>Monitor and assess data to ensure that testing and screening is being administered equitably.</w:t>
            </w:r>
          </w:p>
          <w:p w14:paraId="0C312B93" w14:textId="77777777" w:rsidR="00F10AB6" w:rsidRDefault="00F10AB6" w:rsidP="00154A3D">
            <w:pPr>
              <w:pStyle w:val="Bullets"/>
              <w:spacing w:before="60" w:after="60" w:line="247" w:lineRule="auto"/>
              <w:ind w:left="216" w:hanging="216"/>
            </w:pPr>
            <w:r w:rsidRPr="005C6DB1">
              <w:t>Create cross-sector planning structures for moving forward.</w:t>
            </w:r>
          </w:p>
          <w:p w14:paraId="55615635" w14:textId="77777777" w:rsidR="00F10AB6" w:rsidRDefault="00F10AB6" w:rsidP="00154A3D">
            <w:pPr>
              <w:pStyle w:val="Bullets"/>
              <w:spacing w:before="60" w:after="60" w:line="247" w:lineRule="auto"/>
              <w:ind w:left="216" w:hanging="216"/>
            </w:pPr>
            <w:r w:rsidRPr="005C6DB1">
              <w:t>Generate formal processes for cross-sector feedback, collaboration and decision making.</w:t>
            </w:r>
          </w:p>
        </w:tc>
        <w:tc>
          <w:tcPr>
            <w:tcW w:w="2880" w:type="dxa"/>
          </w:tcPr>
          <w:p w14:paraId="123504C0" w14:textId="77777777" w:rsidR="00F10AB6" w:rsidRPr="005C6DB1" w:rsidRDefault="00F10AB6" w:rsidP="00154A3D">
            <w:pPr>
              <w:pStyle w:val="Bullets"/>
              <w:spacing w:before="60" w:after="60" w:line="247" w:lineRule="auto"/>
              <w:ind w:left="216" w:hanging="216"/>
            </w:pPr>
            <w:r w:rsidRPr="005C6DB1">
              <w:t>Examine timelines (end dates) of eviction moratoria, additional income assistance, and other related initiatives. Use this data to analyze and project impact on homelessness response system.</w:t>
            </w:r>
          </w:p>
          <w:p w14:paraId="1703F6E5" w14:textId="77777777" w:rsidR="00F10AB6" w:rsidRDefault="00F10AB6" w:rsidP="00154A3D">
            <w:pPr>
              <w:pStyle w:val="Bullets"/>
              <w:spacing w:before="60" w:after="60" w:line="247" w:lineRule="auto"/>
              <w:ind w:left="216" w:hanging="216"/>
            </w:pPr>
            <w:r w:rsidRPr="005C6DB1">
              <w:t>Analyze data on returns to homelessness and customize supports for each returning household to exit them back to housing rapidly.</w:t>
            </w:r>
          </w:p>
          <w:p w14:paraId="0E236B10" w14:textId="77777777" w:rsidR="00F10AB6" w:rsidRDefault="00F10AB6" w:rsidP="00154A3D">
            <w:pPr>
              <w:pStyle w:val="Bullets"/>
              <w:spacing w:before="60" w:after="60" w:line="247" w:lineRule="auto"/>
              <w:ind w:left="216" w:hanging="216"/>
            </w:pPr>
            <w:r w:rsidRPr="005C6DB1">
              <w:t>Assess the impact of equity-based decision-making.</w:t>
            </w:r>
          </w:p>
        </w:tc>
        <w:tc>
          <w:tcPr>
            <w:tcW w:w="2880" w:type="dxa"/>
          </w:tcPr>
          <w:p w14:paraId="7FCEFD4E" w14:textId="77777777" w:rsidR="00F10AB6" w:rsidRPr="005C6DB1" w:rsidRDefault="00F10AB6" w:rsidP="00154A3D">
            <w:pPr>
              <w:pStyle w:val="Bullets"/>
              <w:spacing w:before="60" w:after="60" w:line="247" w:lineRule="auto"/>
              <w:ind w:left="216" w:hanging="216"/>
            </w:pPr>
            <w:r w:rsidRPr="005C6DB1">
              <w:t>Strengthen coordination and partnership between homeless programs and health programs, including public health, mental health, physical health, and substance use supports.</w:t>
            </w:r>
          </w:p>
          <w:p w14:paraId="42D897E4" w14:textId="77777777" w:rsidR="00F10AB6" w:rsidRPr="005C6DB1" w:rsidRDefault="00F10AB6" w:rsidP="00154A3D">
            <w:pPr>
              <w:pStyle w:val="Bullets"/>
              <w:spacing w:before="60" w:after="60" w:line="247" w:lineRule="auto"/>
              <w:ind w:left="216" w:hanging="216"/>
            </w:pPr>
            <w:r w:rsidRPr="005C6DB1">
              <w:t>Document the strengths and weaknesses of your community’s response to the pandemic.</w:t>
            </w:r>
          </w:p>
          <w:p w14:paraId="0A47D7BA" w14:textId="77777777" w:rsidR="00F10AB6" w:rsidRDefault="00F10AB6" w:rsidP="00154A3D">
            <w:pPr>
              <w:pStyle w:val="Bullets"/>
              <w:spacing w:before="60" w:after="60" w:line="247" w:lineRule="auto"/>
              <w:ind w:left="216" w:hanging="216"/>
            </w:pPr>
            <w:r w:rsidRPr="005C6DB1">
              <w:t>Examine data to communicate impacts of COVID-19 on homeless persons and break out data on specialized population groups like Indigenous Persons if necessary, to demonstrate health disparities and inequities.</w:t>
            </w:r>
          </w:p>
          <w:p w14:paraId="012BC281" w14:textId="77777777" w:rsidR="00F10AB6" w:rsidRDefault="00F10AB6" w:rsidP="00154A3D">
            <w:pPr>
              <w:pStyle w:val="Bullets"/>
              <w:spacing w:before="60" w:after="60" w:line="247" w:lineRule="auto"/>
              <w:ind w:left="216" w:hanging="216"/>
            </w:pPr>
            <w:r w:rsidRPr="005C6DB1">
              <w:t>Document promising practices.</w:t>
            </w:r>
          </w:p>
        </w:tc>
      </w:tr>
    </w:tbl>
    <w:p w14:paraId="73B5A9E7" w14:textId="77777777" w:rsidR="00F10AB6" w:rsidRDefault="00F10AB6">
      <w:pPr>
        <w:spacing w:before="0" w:after="160"/>
      </w:pPr>
    </w:p>
    <w:p w14:paraId="68E05287" w14:textId="77777777" w:rsidR="005C3B33" w:rsidRDefault="005C3B33">
      <w:pPr>
        <w:spacing w:before="0" w:after="160"/>
      </w:pPr>
    </w:p>
    <w:bookmarkEnd w:id="5"/>
    <w:p w14:paraId="03BB1FEC" w14:textId="77777777" w:rsidR="005C3B33" w:rsidRDefault="005C3B33">
      <w:pPr>
        <w:spacing w:before="0" w:after="160"/>
      </w:pPr>
    </w:p>
    <w:sectPr w:rsidR="005C3B33" w:rsidSect="001A2C61">
      <w:headerReference w:type="default" r:id="rId17"/>
      <w:headerReference w:type="first" r:id="rId18"/>
      <w:pgSz w:w="15840" w:h="12240" w:orient="landscape" w:code="1"/>
      <w:pgMar w:top="165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7E589" w14:textId="77777777" w:rsidR="003864F7" w:rsidRDefault="003864F7" w:rsidP="0051111F">
      <w:r>
        <w:separator/>
      </w:r>
    </w:p>
  </w:endnote>
  <w:endnote w:type="continuationSeparator" w:id="0">
    <w:p w14:paraId="7D6E3C57" w14:textId="77777777" w:rsidR="003864F7" w:rsidRDefault="003864F7" w:rsidP="0051111F">
      <w:r>
        <w:continuationSeparator/>
      </w:r>
    </w:p>
  </w:endnote>
  <w:endnote w:type="continuationNotice" w:id="1">
    <w:p w14:paraId="72BEF8B8" w14:textId="77777777" w:rsidR="003864F7" w:rsidRDefault="003864F7" w:rsidP="00511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49A2C" w14:textId="4A758047" w:rsidR="005B7EC4" w:rsidRPr="004468FA" w:rsidRDefault="005B7EC4" w:rsidP="005C3B33">
    <w:pPr>
      <w:pStyle w:val="Footer"/>
      <w:tabs>
        <w:tab w:val="clear" w:pos="4680"/>
        <w:tab w:val="clear" w:pos="9360"/>
        <w:tab w:val="center" w:pos="7200"/>
        <w:tab w:val="right" w:pos="12960"/>
      </w:tabs>
      <w:spacing w:before="0" w:line="180" w:lineRule="exact"/>
      <w:rPr>
        <w:rFonts w:cstheme="minorHAnsi"/>
        <w:iCs/>
        <w:color w:val="555A51" w:themeColor="background2" w:themeShade="80"/>
      </w:rPr>
    </w:pPr>
    <w:r w:rsidRPr="004468FA">
      <w:rPr>
        <w:rFonts w:cstheme="minorHAnsi"/>
        <w:iCs/>
        <w:color w:val="555A51" w:themeColor="background2" w:themeShade="80"/>
      </w:rPr>
      <w:t xml:space="preserve">A Toolkit for Homeless System Leaders in </w:t>
    </w:r>
    <w:r>
      <w:rPr>
        <w:rFonts w:cstheme="minorHAnsi"/>
        <w:iCs/>
        <w:color w:val="555A51" w:themeColor="background2" w:themeShade="80"/>
      </w:rPr>
      <w:br/>
    </w:r>
    <w:r w:rsidRPr="004468FA">
      <w:rPr>
        <w:rFonts w:cstheme="minorHAnsi"/>
        <w:iCs/>
        <w:color w:val="555A51" w:themeColor="background2" w:themeShade="80"/>
      </w:rPr>
      <w:t>Canada for Pandemic Response &amp; Recovery</w:t>
    </w:r>
    <w:r>
      <w:rPr>
        <w:rFonts w:cstheme="minorHAnsi"/>
        <w:iCs/>
        <w:color w:val="555A51" w:themeColor="background2" w:themeShade="80"/>
      </w:rPr>
      <w:tab/>
    </w:r>
    <w:r w:rsidR="0036364A">
      <w:rPr>
        <w:rFonts w:cstheme="minorHAnsi"/>
        <w:iCs/>
        <w:color w:val="555A51" w:themeColor="background2" w:themeShade="80"/>
      </w:rPr>
      <w:t>Appendix A-</w:t>
    </w:r>
    <w:r w:rsidR="005C3B33">
      <w:rPr>
        <w:rFonts w:cstheme="minorHAnsi"/>
        <w:iCs/>
        <w:color w:val="555A51" w:themeColor="background2" w:themeShade="80"/>
      </w:rPr>
      <w:t>6</w:t>
    </w:r>
    <w:r w:rsidR="0036364A">
      <w:rPr>
        <w:rFonts w:cstheme="minorHAnsi"/>
        <w:iCs/>
        <w:color w:val="555A51" w:themeColor="background2" w:themeShade="80"/>
      </w:rPr>
      <w:t>.</w:t>
    </w:r>
    <w:r>
      <w:rPr>
        <w:rFonts w:cstheme="minorHAnsi"/>
        <w:iCs/>
        <w:color w:val="555A51" w:themeColor="background2" w:themeShade="80"/>
      </w:rPr>
      <w:tab/>
    </w:r>
    <w:r w:rsidRPr="004468FA">
      <w:rPr>
        <w:rFonts w:cstheme="minorHAnsi"/>
        <w:iCs/>
        <w:color w:val="555A51" w:themeColor="background2" w:themeShade="80"/>
      </w:rPr>
      <w:fldChar w:fldCharType="begin"/>
    </w:r>
    <w:r w:rsidRPr="004468FA">
      <w:rPr>
        <w:rFonts w:cstheme="minorHAnsi"/>
        <w:iCs/>
        <w:color w:val="555A51" w:themeColor="background2" w:themeShade="80"/>
      </w:rPr>
      <w:instrText xml:space="preserve"> PAGE   \* MERGEFORMAT </w:instrText>
    </w:r>
    <w:r w:rsidRPr="004468FA">
      <w:rPr>
        <w:rFonts w:cstheme="minorHAnsi"/>
        <w:iCs/>
        <w:color w:val="555A51" w:themeColor="background2" w:themeShade="80"/>
      </w:rPr>
      <w:fldChar w:fldCharType="separate"/>
    </w:r>
    <w:r>
      <w:rPr>
        <w:rFonts w:cstheme="minorHAnsi"/>
        <w:iCs/>
        <w:color w:val="555A51" w:themeColor="background2" w:themeShade="80"/>
      </w:rPr>
      <w:t>15</w:t>
    </w:r>
    <w:r w:rsidRPr="004468FA">
      <w:rPr>
        <w:rFonts w:cstheme="minorHAnsi"/>
        <w:iCs/>
        <w:noProof/>
        <w:color w:val="555A51" w:themeColor="background2"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E7415" w14:textId="77777777" w:rsidR="003864F7" w:rsidRDefault="003864F7" w:rsidP="0051111F">
      <w:r>
        <w:separator/>
      </w:r>
    </w:p>
  </w:footnote>
  <w:footnote w:type="continuationSeparator" w:id="0">
    <w:p w14:paraId="2F94B705" w14:textId="77777777" w:rsidR="003864F7" w:rsidRDefault="003864F7" w:rsidP="0051111F">
      <w:r>
        <w:continuationSeparator/>
      </w:r>
    </w:p>
  </w:footnote>
  <w:footnote w:type="continuationNotice" w:id="1">
    <w:p w14:paraId="212A3F8C" w14:textId="77777777" w:rsidR="003864F7" w:rsidRDefault="003864F7" w:rsidP="005111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1FA1E" w14:textId="77777777" w:rsidR="005B7EC4" w:rsidRDefault="005B7EC4" w:rsidP="0051111F">
    <w:r>
      <w:rPr>
        <w:noProof/>
      </w:rPr>
      <w:drawing>
        <wp:anchor distT="0" distB="0" distL="114300" distR="114300" simplePos="0" relativeHeight="251646464" behindDoc="0" locked="0" layoutInCell="1" allowOverlap="1" wp14:anchorId="49252BA3" wp14:editId="7B193A1A">
          <wp:simplePos x="0" y="0"/>
          <wp:positionH relativeFrom="margin">
            <wp:posOffset>5349240</wp:posOffset>
          </wp:positionH>
          <wp:positionV relativeFrom="page">
            <wp:posOffset>301625</wp:posOffset>
          </wp:positionV>
          <wp:extent cx="594360" cy="512064"/>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EH_stack_S.png"/>
                  <pic:cNvPicPr/>
                </pic:nvPicPr>
                <pic:blipFill>
                  <a:blip r:embed="rId1">
                    <a:extLst>
                      <a:ext uri="{28A0092B-C50C-407E-A947-70E740481C1C}">
                        <a14:useLocalDpi xmlns:a14="http://schemas.microsoft.com/office/drawing/2010/main" val="0"/>
                      </a:ext>
                    </a:extLst>
                  </a:blip>
                  <a:stretch>
                    <a:fillRect/>
                  </a:stretch>
                </pic:blipFill>
                <pic:spPr>
                  <a:xfrm>
                    <a:off x="0" y="0"/>
                    <a:ext cx="594360" cy="5120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13DE7" w14:textId="77777777" w:rsidR="001A2C61" w:rsidRDefault="001A2C61" w:rsidP="0051111F">
    <w:r>
      <w:rPr>
        <w:noProof/>
      </w:rPr>
      <w:drawing>
        <wp:anchor distT="0" distB="0" distL="114300" distR="114300" simplePos="0" relativeHeight="251666435" behindDoc="0" locked="0" layoutInCell="1" allowOverlap="1" wp14:anchorId="3A0089FB" wp14:editId="6334ABE4">
          <wp:simplePos x="0" y="0"/>
          <wp:positionH relativeFrom="margin">
            <wp:align>right</wp:align>
          </wp:positionH>
          <wp:positionV relativeFrom="page">
            <wp:posOffset>301625</wp:posOffset>
          </wp:positionV>
          <wp:extent cx="594360" cy="512064"/>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EH_stack_S.png"/>
                  <pic:cNvPicPr/>
                </pic:nvPicPr>
                <pic:blipFill>
                  <a:blip r:embed="rId1">
                    <a:extLst>
                      <a:ext uri="{28A0092B-C50C-407E-A947-70E740481C1C}">
                        <a14:useLocalDpi xmlns:a14="http://schemas.microsoft.com/office/drawing/2010/main" val="0"/>
                      </a:ext>
                    </a:extLst>
                  </a:blip>
                  <a:stretch>
                    <a:fillRect/>
                  </a:stretch>
                </pic:blipFill>
                <pic:spPr>
                  <a:xfrm>
                    <a:off x="0" y="0"/>
                    <a:ext cx="594360" cy="51206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40620" w14:textId="77777777" w:rsidR="005C4DFB" w:rsidRDefault="005C4DFB" w:rsidP="0051111F">
    <w:pPr>
      <w:pStyle w:val="Header"/>
    </w:pPr>
    <w:r>
      <w:rPr>
        <w:noProof/>
      </w:rPr>
      <w:drawing>
        <wp:anchor distT="0" distB="0" distL="114300" distR="114300" simplePos="0" relativeHeight="251664387" behindDoc="0" locked="0" layoutInCell="1" allowOverlap="1" wp14:anchorId="584BD6C2" wp14:editId="707AC836">
          <wp:simplePos x="0" y="0"/>
          <wp:positionH relativeFrom="margin">
            <wp:align>right</wp:align>
          </wp:positionH>
          <wp:positionV relativeFrom="page">
            <wp:posOffset>301625</wp:posOffset>
          </wp:positionV>
          <wp:extent cx="594360" cy="512064"/>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EH_stack_S.png"/>
                  <pic:cNvPicPr/>
                </pic:nvPicPr>
                <pic:blipFill>
                  <a:blip r:embed="rId1">
                    <a:extLst>
                      <a:ext uri="{28A0092B-C50C-407E-A947-70E740481C1C}">
                        <a14:useLocalDpi xmlns:a14="http://schemas.microsoft.com/office/drawing/2010/main" val="0"/>
                      </a:ext>
                    </a:extLst>
                  </a:blip>
                  <a:stretch>
                    <a:fillRect/>
                  </a:stretch>
                </pic:blipFill>
                <pic:spPr>
                  <a:xfrm>
                    <a:off x="0" y="0"/>
                    <a:ext cx="594360" cy="5120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4362"/>
    <w:multiLevelType w:val="hybridMultilevel"/>
    <w:tmpl w:val="30465AA4"/>
    <w:lvl w:ilvl="0" w:tplc="4376704A">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B2254E5"/>
    <w:multiLevelType w:val="hybridMultilevel"/>
    <w:tmpl w:val="5D760ED8"/>
    <w:lvl w:ilvl="0" w:tplc="A1FA6C44">
      <w:start w:val="1"/>
      <w:numFmt w:val="decimal"/>
      <w:lvlText w:val="%1."/>
      <w:lvlJc w:val="left"/>
      <w:pPr>
        <w:ind w:left="720" w:hanging="360"/>
      </w:pPr>
      <w:rPr>
        <w:rFonts w:ascii="Calibri" w:hAnsi="Calibr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4517F6"/>
    <w:multiLevelType w:val="hybridMultilevel"/>
    <w:tmpl w:val="E1EEF2CA"/>
    <w:lvl w:ilvl="0" w:tplc="D9DC4EBE">
      <w:start w:val="1"/>
      <w:numFmt w:val="bullet"/>
      <w:lvlText w:val=""/>
      <w:lvlJc w:val="left"/>
      <w:pPr>
        <w:tabs>
          <w:tab w:val="num" w:pos="720"/>
        </w:tabs>
        <w:ind w:left="720" w:hanging="360"/>
      </w:pPr>
      <w:rPr>
        <w:rFonts w:ascii="Wingdings" w:hAnsi="Wingdings" w:hint="default"/>
      </w:rPr>
    </w:lvl>
    <w:lvl w:ilvl="1" w:tplc="2A3823F2" w:tentative="1">
      <w:start w:val="1"/>
      <w:numFmt w:val="bullet"/>
      <w:lvlText w:val=""/>
      <w:lvlJc w:val="left"/>
      <w:pPr>
        <w:tabs>
          <w:tab w:val="num" w:pos="1440"/>
        </w:tabs>
        <w:ind w:left="1440" w:hanging="360"/>
      </w:pPr>
      <w:rPr>
        <w:rFonts w:ascii="Wingdings" w:hAnsi="Wingdings" w:hint="default"/>
      </w:rPr>
    </w:lvl>
    <w:lvl w:ilvl="2" w:tplc="7C16ED36" w:tentative="1">
      <w:start w:val="1"/>
      <w:numFmt w:val="bullet"/>
      <w:lvlText w:val=""/>
      <w:lvlJc w:val="left"/>
      <w:pPr>
        <w:tabs>
          <w:tab w:val="num" w:pos="2160"/>
        </w:tabs>
        <w:ind w:left="2160" w:hanging="360"/>
      </w:pPr>
      <w:rPr>
        <w:rFonts w:ascii="Wingdings" w:hAnsi="Wingdings" w:hint="default"/>
      </w:rPr>
    </w:lvl>
    <w:lvl w:ilvl="3" w:tplc="BDB8C18C" w:tentative="1">
      <w:start w:val="1"/>
      <w:numFmt w:val="bullet"/>
      <w:lvlText w:val=""/>
      <w:lvlJc w:val="left"/>
      <w:pPr>
        <w:tabs>
          <w:tab w:val="num" w:pos="2880"/>
        </w:tabs>
        <w:ind w:left="2880" w:hanging="360"/>
      </w:pPr>
      <w:rPr>
        <w:rFonts w:ascii="Wingdings" w:hAnsi="Wingdings" w:hint="default"/>
      </w:rPr>
    </w:lvl>
    <w:lvl w:ilvl="4" w:tplc="CBA89E54" w:tentative="1">
      <w:start w:val="1"/>
      <w:numFmt w:val="bullet"/>
      <w:lvlText w:val=""/>
      <w:lvlJc w:val="left"/>
      <w:pPr>
        <w:tabs>
          <w:tab w:val="num" w:pos="3600"/>
        </w:tabs>
        <w:ind w:left="3600" w:hanging="360"/>
      </w:pPr>
      <w:rPr>
        <w:rFonts w:ascii="Wingdings" w:hAnsi="Wingdings" w:hint="default"/>
      </w:rPr>
    </w:lvl>
    <w:lvl w:ilvl="5" w:tplc="7812B2BA" w:tentative="1">
      <w:start w:val="1"/>
      <w:numFmt w:val="bullet"/>
      <w:lvlText w:val=""/>
      <w:lvlJc w:val="left"/>
      <w:pPr>
        <w:tabs>
          <w:tab w:val="num" w:pos="4320"/>
        </w:tabs>
        <w:ind w:left="4320" w:hanging="360"/>
      </w:pPr>
      <w:rPr>
        <w:rFonts w:ascii="Wingdings" w:hAnsi="Wingdings" w:hint="default"/>
      </w:rPr>
    </w:lvl>
    <w:lvl w:ilvl="6" w:tplc="FA2E5B54" w:tentative="1">
      <w:start w:val="1"/>
      <w:numFmt w:val="bullet"/>
      <w:lvlText w:val=""/>
      <w:lvlJc w:val="left"/>
      <w:pPr>
        <w:tabs>
          <w:tab w:val="num" w:pos="5040"/>
        </w:tabs>
        <w:ind w:left="5040" w:hanging="360"/>
      </w:pPr>
      <w:rPr>
        <w:rFonts w:ascii="Wingdings" w:hAnsi="Wingdings" w:hint="default"/>
      </w:rPr>
    </w:lvl>
    <w:lvl w:ilvl="7" w:tplc="3D427B9C" w:tentative="1">
      <w:start w:val="1"/>
      <w:numFmt w:val="bullet"/>
      <w:lvlText w:val=""/>
      <w:lvlJc w:val="left"/>
      <w:pPr>
        <w:tabs>
          <w:tab w:val="num" w:pos="5760"/>
        </w:tabs>
        <w:ind w:left="5760" w:hanging="360"/>
      </w:pPr>
      <w:rPr>
        <w:rFonts w:ascii="Wingdings" w:hAnsi="Wingdings" w:hint="default"/>
      </w:rPr>
    </w:lvl>
    <w:lvl w:ilvl="8" w:tplc="73EED93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60CBA"/>
    <w:multiLevelType w:val="multilevel"/>
    <w:tmpl w:val="B568F14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2AF7336"/>
    <w:multiLevelType w:val="hybridMultilevel"/>
    <w:tmpl w:val="77B00BBE"/>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7C7255"/>
    <w:multiLevelType w:val="hybridMultilevel"/>
    <w:tmpl w:val="FBC443A4"/>
    <w:lvl w:ilvl="0" w:tplc="67721838">
      <w:start w:val="1"/>
      <w:numFmt w:val="bullet"/>
      <w:lvlText w:val=""/>
      <w:lvlJc w:val="left"/>
      <w:pPr>
        <w:tabs>
          <w:tab w:val="num" w:pos="720"/>
        </w:tabs>
        <w:ind w:left="720" w:hanging="360"/>
      </w:pPr>
      <w:rPr>
        <w:rFonts w:ascii="Wingdings" w:hAnsi="Wingdings" w:hint="default"/>
      </w:rPr>
    </w:lvl>
    <w:lvl w:ilvl="1" w:tplc="5A12C270" w:tentative="1">
      <w:start w:val="1"/>
      <w:numFmt w:val="bullet"/>
      <w:lvlText w:val=""/>
      <w:lvlJc w:val="left"/>
      <w:pPr>
        <w:tabs>
          <w:tab w:val="num" w:pos="1440"/>
        </w:tabs>
        <w:ind w:left="1440" w:hanging="360"/>
      </w:pPr>
      <w:rPr>
        <w:rFonts w:ascii="Wingdings" w:hAnsi="Wingdings" w:hint="default"/>
      </w:rPr>
    </w:lvl>
    <w:lvl w:ilvl="2" w:tplc="F710D790" w:tentative="1">
      <w:start w:val="1"/>
      <w:numFmt w:val="bullet"/>
      <w:lvlText w:val=""/>
      <w:lvlJc w:val="left"/>
      <w:pPr>
        <w:tabs>
          <w:tab w:val="num" w:pos="2160"/>
        </w:tabs>
        <w:ind w:left="2160" w:hanging="360"/>
      </w:pPr>
      <w:rPr>
        <w:rFonts w:ascii="Wingdings" w:hAnsi="Wingdings" w:hint="default"/>
      </w:rPr>
    </w:lvl>
    <w:lvl w:ilvl="3" w:tplc="6854C0F4" w:tentative="1">
      <w:start w:val="1"/>
      <w:numFmt w:val="bullet"/>
      <w:lvlText w:val=""/>
      <w:lvlJc w:val="left"/>
      <w:pPr>
        <w:tabs>
          <w:tab w:val="num" w:pos="2880"/>
        </w:tabs>
        <w:ind w:left="2880" w:hanging="360"/>
      </w:pPr>
      <w:rPr>
        <w:rFonts w:ascii="Wingdings" w:hAnsi="Wingdings" w:hint="default"/>
      </w:rPr>
    </w:lvl>
    <w:lvl w:ilvl="4" w:tplc="DC10E1AC" w:tentative="1">
      <w:start w:val="1"/>
      <w:numFmt w:val="bullet"/>
      <w:lvlText w:val=""/>
      <w:lvlJc w:val="left"/>
      <w:pPr>
        <w:tabs>
          <w:tab w:val="num" w:pos="3600"/>
        </w:tabs>
        <w:ind w:left="3600" w:hanging="360"/>
      </w:pPr>
      <w:rPr>
        <w:rFonts w:ascii="Wingdings" w:hAnsi="Wingdings" w:hint="default"/>
      </w:rPr>
    </w:lvl>
    <w:lvl w:ilvl="5" w:tplc="0FCC8520" w:tentative="1">
      <w:start w:val="1"/>
      <w:numFmt w:val="bullet"/>
      <w:lvlText w:val=""/>
      <w:lvlJc w:val="left"/>
      <w:pPr>
        <w:tabs>
          <w:tab w:val="num" w:pos="4320"/>
        </w:tabs>
        <w:ind w:left="4320" w:hanging="360"/>
      </w:pPr>
      <w:rPr>
        <w:rFonts w:ascii="Wingdings" w:hAnsi="Wingdings" w:hint="default"/>
      </w:rPr>
    </w:lvl>
    <w:lvl w:ilvl="6" w:tplc="B9AEC3BE" w:tentative="1">
      <w:start w:val="1"/>
      <w:numFmt w:val="bullet"/>
      <w:lvlText w:val=""/>
      <w:lvlJc w:val="left"/>
      <w:pPr>
        <w:tabs>
          <w:tab w:val="num" w:pos="5040"/>
        </w:tabs>
        <w:ind w:left="5040" w:hanging="360"/>
      </w:pPr>
      <w:rPr>
        <w:rFonts w:ascii="Wingdings" w:hAnsi="Wingdings" w:hint="default"/>
      </w:rPr>
    </w:lvl>
    <w:lvl w:ilvl="7" w:tplc="0D1EA04E" w:tentative="1">
      <w:start w:val="1"/>
      <w:numFmt w:val="bullet"/>
      <w:lvlText w:val=""/>
      <w:lvlJc w:val="left"/>
      <w:pPr>
        <w:tabs>
          <w:tab w:val="num" w:pos="5760"/>
        </w:tabs>
        <w:ind w:left="5760" w:hanging="360"/>
      </w:pPr>
      <w:rPr>
        <w:rFonts w:ascii="Wingdings" w:hAnsi="Wingdings" w:hint="default"/>
      </w:rPr>
    </w:lvl>
    <w:lvl w:ilvl="8" w:tplc="3702AAC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623CD6"/>
    <w:multiLevelType w:val="multilevel"/>
    <w:tmpl w:val="5A000470"/>
    <w:lvl w:ilvl="0">
      <w:start w:val="3"/>
      <w:numFmt w:val="decimal"/>
      <w:lvlText w:val="%1"/>
      <w:lvlJc w:val="left"/>
      <w:pPr>
        <w:ind w:left="450" w:hanging="450"/>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680" w:hanging="180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6192" w:hanging="2160"/>
      </w:pPr>
      <w:rPr>
        <w:rFonts w:hint="default"/>
      </w:rPr>
    </w:lvl>
    <w:lvl w:ilvl="8">
      <w:start w:val="1"/>
      <w:numFmt w:val="decimal"/>
      <w:lvlText w:val="%1.%2.%3.%4.%5.%6.%7.%8.%9"/>
      <w:lvlJc w:val="left"/>
      <w:pPr>
        <w:ind w:left="7128" w:hanging="2520"/>
      </w:pPr>
      <w:rPr>
        <w:rFonts w:hint="default"/>
      </w:rPr>
    </w:lvl>
  </w:abstractNum>
  <w:abstractNum w:abstractNumId="7" w15:restartNumberingAfterBreak="0">
    <w:nsid w:val="29C11251"/>
    <w:multiLevelType w:val="hybridMultilevel"/>
    <w:tmpl w:val="DB8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E01F1A"/>
    <w:multiLevelType w:val="hybridMultilevel"/>
    <w:tmpl w:val="BC2EC3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D516CD"/>
    <w:multiLevelType w:val="hybridMultilevel"/>
    <w:tmpl w:val="C672B63E"/>
    <w:lvl w:ilvl="0" w:tplc="6576CE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D5C5D"/>
    <w:multiLevelType w:val="multilevel"/>
    <w:tmpl w:val="CD5CEE3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lowerRoman"/>
      <w:lvlText w:val="%3."/>
      <w:lvlJc w:val="right"/>
      <w:pPr>
        <w:ind w:left="360" w:hanging="36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42062703"/>
    <w:multiLevelType w:val="hybridMultilevel"/>
    <w:tmpl w:val="64A8DDE8"/>
    <w:lvl w:ilvl="0" w:tplc="C56C6EFC">
      <w:start w:val="1"/>
      <w:numFmt w:val="bullet"/>
      <w:pStyle w:val="Bullets"/>
      <w:lvlText w:val=""/>
      <w:lvlJc w:val="left"/>
      <w:pPr>
        <w:ind w:left="720" w:hanging="360"/>
      </w:pPr>
      <w:rPr>
        <w:rFonts w:ascii="Wingdings" w:hAnsi="Wingdings" w:hint="default"/>
      </w:rPr>
    </w:lvl>
    <w:lvl w:ilvl="1" w:tplc="9CA25A2A">
      <w:start w:val="1"/>
      <w:numFmt w:val="bullet"/>
      <w:pStyle w:val="Bullets-2ndlevel"/>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2E4A79"/>
    <w:multiLevelType w:val="hybridMultilevel"/>
    <w:tmpl w:val="B3CC3ABA"/>
    <w:lvl w:ilvl="0" w:tplc="54D8449C">
      <w:start w:val="1"/>
      <w:numFmt w:val="bullet"/>
      <w:lvlText w:val=""/>
      <w:lvlJc w:val="left"/>
      <w:pPr>
        <w:tabs>
          <w:tab w:val="num" w:pos="720"/>
        </w:tabs>
        <w:ind w:left="720" w:hanging="360"/>
      </w:pPr>
      <w:rPr>
        <w:rFonts w:ascii="Wingdings" w:hAnsi="Wingdings" w:hint="default"/>
      </w:rPr>
    </w:lvl>
    <w:lvl w:ilvl="1" w:tplc="A45016CC" w:tentative="1">
      <w:start w:val="1"/>
      <w:numFmt w:val="bullet"/>
      <w:lvlText w:val=""/>
      <w:lvlJc w:val="left"/>
      <w:pPr>
        <w:tabs>
          <w:tab w:val="num" w:pos="1440"/>
        </w:tabs>
        <w:ind w:left="1440" w:hanging="360"/>
      </w:pPr>
      <w:rPr>
        <w:rFonts w:ascii="Wingdings" w:hAnsi="Wingdings" w:hint="default"/>
      </w:rPr>
    </w:lvl>
    <w:lvl w:ilvl="2" w:tplc="D4B80D7A" w:tentative="1">
      <w:start w:val="1"/>
      <w:numFmt w:val="bullet"/>
      <w:lvlText w:val=""/>
      <w:lvlJc w:val="left"/>
      <w:pPr>
        <w:tabs>
          <w:tab w:val="num" w:pos="2160"/>
        </w:tabs>
        <w:ind w:left="2160" w:hanging="360"/>
      </w:pPr>
      <w:rPr>
        <w:rFonts w:ascii="Wingdings" w:hAnsi="Wingdings" w:hint="default"/>
      </w:rPr>
    </w:lvl>
    <w:lvl w:ilvl="3" w:tplc="7006187A" w:tentative="1">
      <w:start w:val="1"/>
      <w:numFmt w:val="bullet"/>
      <w:lvlText w:val=""/>
      <w:lvlJc w:val="left"/>
      <w:pPr>
        <w:tabs>
          <w:tab w:val="num" w:pos="2880"/>
        </w:tabs>
        <w:ind w:left="2880" w:hanging="360"/>
      </w:pPr>
      <w:rPr>
        <w:rFonts w:ascii="Wingdings" w:hAnsi="Wingdings" w:hint="default"/>
      </w:rPr>
    </w:lvl>
    <w:lvl w:ilvl="4" w:tplc="619644A0" w:tentative="1">
      <w:start w:val="1"/>
      <w:numFmt w:val="bullet"/>
      <w:lvlText w:val=""/>
      <w:lvlJc w:val="left"/>
      <w:pPr>
        <w:tabs>
          <w:tab w:val="num" w:pos="3600"/>
        </w:tabs>
        <w:ind w:left="3600" w:hanging="360"/>
      </w:pPr>
      <w:rPr>
        <w:rFonts w:ascii="Wingdings" w:hAnsi="Wingdings" w:hint="default"/>
      </w:rPr>
    </w:lvl>
    <w:lvl w:ilvl="5" w:tplc="202218D4" w:tentative="1">
      <w:start w:val="1"/>
      <w:numFmt w:val="bullet"/>
      <w:lvlText w:val=""/>
      <w:lvlJc w:val="left"/>
      <w:pPr>
        <w:tabs>
          <w:tab w:val="num" w:pos="4320"/>
        </w:tabs>
        <w:ind w:left="4320" w:hanging="360"/>
      </w:pPr>
      <w:rPr>
        <w:rFonts w:ascii="Wingdings" w:hAnsi="Wingdings" w:hint="default"/>
      </w:rPr>
    </w:lvl>
    <w:lvl w:ilvl="6" w:tplc="EAECF0A6" w:tentative="1">
      <w:start w:val="1"/>
      <w:numFmt w:val="bullet"/>
      <w:lvlText w:val=""/>
      <w:lvlJc w:val="left"/>
      <w:pPr>
        <w:tabs>
          <w:tab w:val="num" w:pos="5040"/>
        </w:tabs>
        <w:ind w:left="5040" w:hanging="360"/>
      </w:pPr>
      <w:rPr>
        <w:rFonts w:ascii="Wingdings" w:hAnsi="Wingdings" w:hint="default"/>
      </w:rPr>
    </w:lvl>
    <w:lvl w:ilvl="7" w:tplc="BC301C8A" w:tentative="1">
      <w:start w:val="1"/>
      <w:numFmt w:val="bullet"/>
      <w:lvlText w:val=""/>
      <w:lvlJc w:val="left"/>
      <w:pPr>
        <w:tabs>
          <w:tab w:val="num" w:pos="5760"/>
        </w:tabs>
        <w:ind w:left="5760" w:hanging="360"/>
      </w:pPr>
      <w:rPr>
        <w:rFonts w:ascii="Wingdings" w:hAnsi="Wingdings" w:hint="default"/>
      </w:rPr>
    </w:lvl>
    <w:lvl w:ilvl="8" w:tplc="41C4885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653A76"/>
    <w:multiLevelType w:val="hybridMultilevel"/>
    <w:tmpl w:val="EFD6A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9E716B"/>
    <w:multiLevelType w:val="multilevel"/>
    <w:tmpl w:val="404AEB8A"/>
    <w:lvl w:ilvl="0">
      <w:start w:val="1"/>
      <w:numFmt w:val="decimal"/>
      <w:lvlText w:val="%1"/>
      <w:lvlJc w:val="left"/>
      <w:pPr>
        <w:ind w:left="432" w:hanging="432"/>
      </w:pPr>
    </w:lvl>
    <w:lvl w:ilvl="1">
      <w:start w:val="1"/>
      <w:numFmt w:val="decimal"/>
      <w:lvlText w:val="%1.%2"/>
      <w:lvlJc w:val="left"/>
      <w:pPr>
        <w:ind w:left="165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94F04E7"/>
    <w:multiLevelType w:val="hybridMultilevel"/>
    <w:tmpl w:val="7486979E"/>
    <w:lvl w:ilvl="0" w:tplc="0B2858E8">
      <w:start w:val="1"/>
      <w:numFmt w:val="bullet"/>
      <w:lvlText w:val=""/>
      <w:lvlJc w:val="left"/>
      <w:pPr>
        <w:ind w:left="720" w:hanging="360"/>
      </w:pPr>
      <w:rPr>
        <w:rFonts w:ascii="Symbol" w:hAnsi="Symbol" w:hint="default"/>
        <w:color w:val="00000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59EF5D37"/>
    <w:multiLevelType w:val="hybridMultilevel"/>
    <w:tmpl w:val="A820613E"/>
    <w:lvl w:ilvl="0" w:tplc="11B6E280">
      <w:start w:val="1"/>
      <w:numFmt w:val="bullet"/>
      <w:lvlText w:val=""/>
      <w:lvlJc w:val="left"/>
      <w:pPr>
        <w:tabs>
          <w:tab w:val="num" w:pos="720"/>
        </w:tabs>
        <w:ind w:left="720" w:hanging="360"/>
      </w:pPr>
      <w:rPr>
        <w:rFonts w:ascii="Wingdings" w:hAnsi="Wingdings" w:hint="default"/>
      </w:rPr>
    </w:lvl>
    <w:lvl w:ilvl="1" w:tplc="D9A29A3E" w:tentative="1">
      <w:start w:val="1"/>
      <w:numFmt w:val="bullet"/>
      <w:lvlText w:val=""/>
      <w:lvlJc w:val="left"/>
      <w:pPr>
        <w:tabs>
          <w:tab w:val="num" w:pos="1440"/>
        </w:tabs>
        <w:ind w:left="1440" w:hanging="360"/>
      </w:pPr>
      <w:rPr>
        <w:rFonts w:ascii="Wingdings" w:hAnsi="Wingdings" w:hint="default"/>
      </w:rPr>
    </w:lvl>
    <w:lvl w:ilvl="2" w:tplc="CDE0877E" w:tentative="1">
      <w:start w:val="1"/>
      <w:numFmt w:val="bullet"/>
      <w:lvlText w:val=""/>
      <w:lvlJc w:val="left"/>
      <w:pPr>
        <w:tabs>
          <w:tab w:val="num" w:pos="2160"/>
        </w:tabs>
        <w:ind w:left="2160" w:hanging="360"/>
      </w:pPr>
      <w:rPr>
        <w:rFonts w:ascii="Wingdings" w:hAnsi="Wingdings" w:hint="default"/>
      </w:rPr>
    </w:lvl>
    <w:lvl w:ilvl="3" w:tplc="6726984C" w:tentative="1">
      <w:start w:val="1"/>
      <w:numFmt w:val="bullet"/>
      <w:lvlText w:val=""/>
      <w:lvlJc w:val="left"/>
      <w:pPr>
        <w:tabs>
          <w:tab w:val="num" w:pos="2880"/>
        </w:tabs>
        <w:ind w:left="2880" w:hanging="360"/>
      </w:pPr>
      <w:rPr>
        <w:rFonts w:ascii="Wingdings" w:hAnsi="Wingdings" w:hint="default"/>
      </w:rPr>
    </w:lvl>
    <w:lvl w:ilvl="4" w:tplc="114AB4D6" w:tentative="1">
      <w:start w:val="1"/>
      <w:numFmt w:val="bullet"/>
      <w:lvlText w:val=""/>
      <w:lvlJc w:val="left"/>
      <w:pPr>
        <w:tabs>
          <w:tab w:val="num" w:pos="3600"/>
        </w:tabs>
        <w:ind w:left="3600" w:hanging="360"/>
      </w:pPr>
      <w:rPr>
        <w:rFonts w:ascii="Wingdings" w:hAnsi="Wingdings" w:hint="default"/>
      </w:rPr>
    </w:lvl>
    <w:lvl w:ilvl="5" w:tplc="033A18FA" w:tentative="1">
      <w:start w:val="1"/>
      <w:numFmt w:val="bullet"/>
      <w:lvlText w:val=""/>
      <w:lvlJc w:val="left"/>
      <w:pPr>
        <w:tabs>
          <w:tab w:val="num" w:pos="4320"/>
        </w:tabs>
        <w:ind w:left="4320" w:hanging="360"/>
      </w:pPr>
      <w:rPr>
        <w:rFonts w:ascii="Wingdings" w:hAnsi="Wingdings" w:hint="default"/>
      </w:rPr>
    </w:lvl>
    <w:lvl w:ilvl="6" w:tplc="8B7228F8" w:tentative="1">
      <w:start w:val="1"/>
      <w:numFmt w:val="bullet"/>
      <w:lvlText w:val=""/>
      <w:lvlJc w:val="left"/>
      <w:pPr>
        <w:tabs>
          <w:tab w:val="num" w:pos="5040"/>
        </w:tabs>
        <w:ind w:left="5040" w:hanging="360"/>
      </w:pPr>
      <w:rPr>
        <w:rFonts w:ascii="Wingdings" w:hAnsi="Wingdings" w:hint="default"/>
      </w:rPr>
    </w:lvl>
    <w:lvl w:ilvl="7" w:tplc="406CE154" w:tentative="1">
      <w:start w:val="1"/>
      <w:numFmt w:val="bullet"/>
      <w:lvlText w:val=""/>
      <w:lvlJc w:val="left"/>
      <w:pPr>
        <w:tabs>
          <w:tab w:val="num" w:pos="5760"/>
        </w:tabs>
        <w:ind w:left="5760" w:hanging="360"/>
      </w:pPr>
      <w:rPr>
        <w:rFonts w:ascii="Wingdings" w:hAnsi="Wingdings" w:hint="default"/>
      </w:rPr>
    </w:lvl>
    <w:lvl w:ilvl="8" w:tplc="FAA05AA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F128DD"/>
    <w:multiLevelType w:val="hybridMultilevel"/>
    <w:tmpl w:val="BA6C3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092F25"/>
    <w:multiLevelType w:val="multilevel"/>
    <w:tmpl w:val="10090025"/>
    <w:styleLink w:val="Style1"/>
    <w:lvl w:ilvl="0">
      <w:start w:val="1"/>
      <w:numFmt w:val="decimal"/>
      <w:lvlText w:val="%1"/>
      <w:lvlJc w:val="left"/>
      <w:pPr>
        <w:ind w:left="432" w:hanging="432"/>
      </w:pPr>
    </w:lvl>
    <w:lvl w:ilvl="1">
      <w:start w:val="1"/>
      <w:numFmt w:val="decimal"/>
      <w:lvlText w:val="%1.%2"/>
      <w:lvlJc w:val="left"/>
      <w:pPr>
        <w:ind w:left="165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3CC4B78"/>
    <w:multiLevelType w:val="multilevel"/>
    <w:tmpl w:val="22AC98AA"/>
    <w:lvl w:ilvl="0">
      <w:start w:val="2"/>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7F7513"/>
    <w:multiLevelType w:val="hybridMultilevel"/>
    <w:tmpl w:val="D16CAA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D4C2683"/>
    <w:multiLevelType w:val="hybridMultilevel"/>
    <w:tmpl w:val="BA46ADD0"/>
    <w:lvl w:ilvl="0" w:tplc="2F8A2F2A">
      <w:start w:val="1"/>
      <w:numFmt w:val="lowerRoman"/>
      <w:pStyle w:val="Heading3"/>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F5B1D98"/>
    <w:multiLevelType w:val="hybridMultilevel"/>
    <w:tmpl w:val="1A324EE6"/>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22"/>
  </w:num>
  <w:num w:numId="3">
    <w:abstractNumId w:val="14"/>
  </w:num>
  <w:num w:numId="4">
    <w:abstractNumId w:val="18"/>
  </w:num>
  <w:num w:numId="5">
    <w:abstractNumId w:val="10"/>
  </w:num>
  <w:num w:numId="6">
    <w:abstractNumId w:val="1"/>
  </w:num>
  <w:num w:numId="7">
    <w:abstractNumId w:val="4"/>
  </w:num>
  <w:num w:numId="8">
    <w:abstractNumId w:val="20"/>
  </w:num>
  <w:num w:numId="9">
    <w:abstractNumId w:val="12"/>
  </w:num>
  <w:num w:numId="10">
    <w:abstractNumId w:val="2"/>
  </w:num>
  <w:num w:numId="11">
    <w:abstractNumId w:val="16"/>
  </w:num>
  <w:num w:numId="12">
    <w:abstractNumId w:val="5"/>
  </w:num>
  <w:num w:numId="13">
    <w:abstractNumId w:val="0"/>
  </w:num>
  <w:num w:numId="14">
    <w:abstractNumId w:val="15"/>
  </w:num>
  <w:num w:numId="15">
    <w:abstractNumId w:val="9"/>
  </w:num>
  <w:num w:numId="16">
    <w:abstractNumId w:val="8"/>
  </w:num>
  <w:num w:numId="17">
    <w:abstractNumId w:val="17"/>
  </w:num>
  <w:num w:numId="18">
    <w:abstractNumId w:val="13"/>
  </w:num>
  <w:num w:numId="19">
    <w:abstractNumId w:val="7"/>
  </w:num>
  <w:num w:numId="20">
    <w:abstractNumId w:val="19"/>
  </w:num>
  <w:num w:numId="21">
    <w:abstractNumId w:val="21"/>
  </w:num>
  <w:num w:numId="22">
    <w:abstractNumId w:val="21"/>
    <w:lvlOverride w:ilvl="0">
      <w:startOverride w:val="1"/>
    </w:lvlOverride>
  </w:num>
  <w:num w:numId="23">
    <w:abstractNumId w:val="21"/>
    <w:lvlOverride w:ilvl="0">
      <w:startOverride w:val="1"/>
    </w:lvlOverride>
  </w:num>
  <w:num w:numId="24">
    <w:abstractNumId w:val="6"/>
  </w:num>
  <w:num w:numId="25">
    <w:abstractNumId w:val="3"/>
  </w:num>
  <w:num w:numId="26">
    <w:abstractNumId w:val="21"/>
    <w:lvlOverride w:ilvl="0">
      <w:startOverride w:val="1"/>
    </w:lvlOverride>
  </w:num>
  <w:num w:numId="2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num>
  <w:num w:numId="29">
    <w:abstractNumId w:val="21"/>
    <w:lvlOverride w:ilvl="0">
      <w:startOverride w:val="1"/>
    </w:lvlOverride>
  </w:num>
  <w:num w:numId="30">
    <w:abstractNumId w:val="21"/>
    <w:lvlOverride w:ilvl="0">
      <w:startOverride w:val="1"/>
    </w:lvlOverride>
  </w:num>
  <w:num w:numId="31">
    <w:abstractNumId w:val="2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88"/>
    <w:rsid w:val="00002748"/>
    <w:rsid w:val="000034A1"/>
    <w:rsid w:val="00011FA7"/>
    <w:rsid w:val="00012F58"/>
    <w:rsid w:val="00032149"/>
    <w:rsid w:val="0003704E"/>
    <w:rsid w:val="000424C4"/>
    <w:rsid w:val="00053114"/>
    <w:rsid w:val="0005774F"/>
    <w:rsid w:val="00057DB5"/>
    <w:rsid w:val="00061059"/>
    <w:rsid w:val="00064472"/>
    <w:rsid w:val="0006591B"/>
    <w:rsid w:val="00077819"/>
    <w:rsid w:val="00084C7B"/>
    <w:rsid w:val="0008624B"/>
    <w:rsid w:val="00091C38"/>
    <w:rsid w:val="00096B2C"/>
    <w:rsid w:val="000A3057"/>
    <w:rsid w:val="000B2044"/>
    <w:rsid w:val="000B3C18"/>
    <w:rsid w:val="000B440F"/>
    <w:rsid w:val="000B48F6"/>
    <w:rsid w:val="000B7956"/>
    <w:rsid w:val="000C1190"/>
    <w:rsid w:val="000C13E3"/>
    <w:rsid w:val="000C3325"/>
    <w:rsid w:val="000D1A38"/>
    <w:rsid w:val="000D3C32"/>
    <w:rsid w:val="000D40C8"/>
    <w:rsid w:val="000D4F84"/>
    <w:rsid w:val="000D51C2"/>
    <w:rsid w:val="000D6C57"/>
    <w:rsid w:val="000E033D"/>
    <w:rsid w:val="000E0FC5"/>
    <w:rsid w:val="000E0FD8"/>
    <w:rsid w:val="000E2180"/>
    <w:rsid w:val="000E22A6"/>
    <w:rsid w:val="000E2A67"/>
    <w:rsid w:val="000E655C"/>
    <w:rsid w:val="000F1F8A"/>
    <w:rsid w:val="001003FC"/>
    <w:rsid w:val="00102104"/>
    <w:rsid w:val="00107247"/>
    <w:rsid w:val="00107F7C"/>
    <w:rsid w:val="0011051C"/>
    <w:rsid w:val="001138FD"/>
    <w:rsid w:val="001140E1"/>
    <w:rsid w:val="00114B00"/>
    <w:rsid w:val="001171F6"/>
    <w:rsid w:val="00117F08"/>
    <w:rsid w:val="00123B8A"/>
    <w:rsid w:val="001240DD"/>
    <w:rsid w:val="00130B3C"/>
    <w:rsid w:val="001314B0"/>
    <w:rsid w:val="0013356F"/>
    <w:rsid w:val="001335BF"/>
    <w:rsid w:val="00136E46"/>
    <w:rsid w:val="00140BCD"/>
    <w:rsid w:val="00141E1A"/>
    <w:rsid w:val="001425CA"/>
    <w:rsid w:val="0014275F"/>
    <w:rsid w:val="001451BA"/>
    <w:rsid w:val="0015052A"/>
    <w:rsid w:val="00154A3D"/>
    <w:rsid w:val="00157967"/>
    <w:rsid w:val="00157A96"/>
    <w:rsid w:val="00164DB7"/>
    <w:rsid w:val="00167290"/>
    <w:rsid w:val="001718A8"/>
    <w:rsid w:val="00171D06"/>
    <w:rsid w:val="00173B70"/>
    <w:rsid w:val="0017412F"/>
    <w:rsid w:val="00174CED"/>
    <w:rsid w:val="00177AD4"/>
    <w:rsid w:val="00183A53"/>
    <w:rsid w:val="0018434D"/>
    <w:rsid w:val="00186FC0"/>
    <w:rsid w:val="00190517"/>
    <w:rsid w:val="0019104D"/>
    <w:rsid w:val="0019205B"/>
    <w:rsid w:val="001A2C61"/>
    <w:rsid w:val="001A467A"/>
    <w:rsid w:val="001A69D3"/>
    <w:rsid w:val="001A6AD7"/>
    <w:rsid w:val="001B1906"/>
    <w:rsid w:val="001C0B6E"/>
    <w:rsid w:val="001C12E1"/>
    <w:rsid w:val="001C20CB"/>
    <w:rsid w:val="001D1BE9"/>
    <w:rsid w:val="001D5766"/>
    <w:rsid w:val="001E2630"/>
    <w:rsid w:val="001E4413"/>
    <w:rsid w:val="001E70A8"/>
    <w:rsid w:val="001F124B"/>
    <w:rsid w:val="001F1C5D"/>
    <w:rsid w:val="001F2821"/>
    <w:rsid w:val="001F327C"/>
    <w:rsid w:val="001F4BCA"/>
    <w:rsid w:val="001F5134"/>
    <w:rsid w:val="001F61A4"/>
    <w:rsid w:val="001F61BB"/>
    <w:rsid w:val="00202ECE"/>
    <w:rsid w:val="002040FB"/>
    <w:rsid w:val="00207B2C"/>
    <w:rsid w:val="002112E3"/>
    <w:rsid w:val="002141EC"/>
    <w:rsid w:val="002168B7"/>
    <w:rsid w:val="002177EF"/>
    <w:rsid w:val="002226E5"/>
    <w:rsid w:val="00222974"/>
    <w:rsid w:val="00222C0D"/>
    <w:rsid w:val="00223250"/>
    <w:rsid w:val="00223A82"/>
    <w:rsid w:val="00223D5C"/>
    <w:rsid w:val="00225677"/>
    <w:rsid w:val="00226A2D"/>
    <w:rsid w:val="00231746"/>
    <w:rsid w:val="002332E5"/>
    <w:rsid w:val="0023367D"/>
    <w:rsid w:val="002348E4"/>
    <w:rsid w:val="00237BC9"/>
    <w:rsid w:val="00240183"/>
    <w:rsid w:val="00242AD2"/>
    <w:rsid w:val="002457A0"/>
    <w:rsid w:val="00247461"/>
    <w:rsid w:val="00247674"/>
    <w:rsid w:val="00253698"/>
    <w:rsid w:val="00256AF7"/>
    <w:rsid w:val="00261F64"/>
    <w:rsid w:val="0027387F"/>
    <w:rsid w:val="0027507E"/>
    <w:rsid w:val="00281C6E"/>
    <w:rsid w:val="00282F5B"/>
    <w:rsid w:val="0028532E"/>
    <w:rsid w:val="00285631"/>
    <w:rsid w:val="002945EC"/>
    <w:rsid w:val="002A11E2"/>
    <w:rsid w:val="002A15BE"/>
    <w:rsid w:val="002A3201"/>
    <w:rsid w:val="002A3676"/>
    <w:rsid w:val="002A4DB3"/>
    <w:rsid w:val="002A5205"/>
    <w:rsid w:val="002A6694"/>
    <w:rsid w:val="002A6BF6"/>
    <w:rsid w:val="002A7E9D"/>
    <w:rsid w:val="002B07F8"/>
    <w:rsid w:val="002B1E81"/>
    <w:rsid w:val="002B40E4"/>
    <w:rsid w:val="002B7718"/>
    <w:rsid w:val="002B79B7"/>
    <w:rsid w:val="002C0F9A"/>
    <w:rsid w:val="002D1A21"/>
    <w:rsid w:val="002E3700"/>
    <w:rsid w:val="002F14B7"/>
    <w:rsid w:val="002F2D14"/>
    <w:rsid w:val="002F3DF2"/>
    <w:rsid w:val="002F407C"/>
    <w:rsid w:val="00305638"/>
    <w:rsid w:val="00306451"/>
    <w:rsid w:val="003070E4"/>
    <w:rsid w:val="0031037C"/>
    <w:rsid w:val="00317A6F"/>
    <w:rsid w:val="0032649B"/>
    <w:rsid w:val="00326744"/>
    <w:rsid w:val="00330153"/>
    <w:rsid w:val="0033062C"/>
    <w:rsid w:val="00330A61"/>
    <w:rsid w:val="00334D32"/>
    <w:rsid w:val="0033614B"/>
    <w:rsid w:val="00345C84"/>
    <w:rsid w:val="00354A20"/>
    <w:rsid w:val="00361CB1"/>
    <w:rsid w:val="00362186"/>
    <w:rsid w:val="0036364A"/>
    <w:rsid w:val="00363B32"/>
    <w:rsid w:val="0036640C"/>
    <w:rsid w:val="00373DAF"/>
    <w:rsid w:val="003864F7"/>
    <w:rsid w:val="0038705E"/>
    <w:rsid w:val="00391468"/>
    <w:rsid w:val="00393735"/>
    <w:rsid w:val="003973AB"/>
    <w:rsid w:val="003A0755"/>
    <w:rsid w:val="003A114E"/>
    <w:rsid w:val="003A4FE4"/>
    <w:rsid w:val="003A68C4"/>
    <w:rsid w:val="003B0DA2"/>
    <w:rsid w:val="003B21BB"/>
    <w:rsid w:val="003B2A19"/>
    <w:rsid w:val="003B42AC"/>
    <w:rsid w:val="003B4409"/>
    <w:rsid w:val="003B60C8"/>
    <w:rsid w:val="003B6339"/>
    <w:rsid w:val="003B6C84"/>
    <w:rsid w:val="003B6D14"/>
    <w:rsid w:val="003C0105"/>
    <w:rsid w:val="003C1ECD"/>
    <w:rsid w:val="003C3E25"/>
    <w:rsid w:val="003C4399"/>
    <w:rsid w:val="003C6AE8"/>
    <w:rsid w:val="003D00BD"/>
    <w:rsid w:val="003D6B9A"/>
    <w:rsid w:val="003E077C"/>
    <w:rsid w:val="003E0CBD"/>
    <w:rsid w:val="003E1FFF"/>
    <w:rsid w:val="003F0BD8"/>
    <w:rsid w:val="0040063C"/>
    <w:rsid w:val="00402492"/>
    <w:rsid w:val="004033FB"/>
    <w:rsid w:val="0040637B"/>
    <w:rsid w:val="0041478E"/>
    <w:rsid w:val="0042170D"/>
    <w:rsid w:val="0043355C"/>
    <w:rsid w:val="00436A89"/>
    <w:rsid w:val="004371E5"/>
    <w:rsid w:val="004468FA"/>
    <w:rsid w:val="00446B96"/>
    <w:rsid w:val="004477D5"/>
    <w:rsid w:val="004513C8"/>
    <w:rsid w:val="0045723D"/>
    <w:rsid w:val="00457A28"/>
    <w:rsid w:val="00471A37"/>
    <w:rsid w:val="0047256A"/>
    <w:rsid w:val="00473975"/>
    <w:rsid w:val="00477C1F"/>
    <w:rsid w:val="004804B4"/>
    <w:rsid w:val="004812FF"/>
    <w:rsid w:val="00485358"/>
    <w:rsid w:val="004862DA"/>
    <w:rsid w:val="00487FD1"/>
    <w:rsid w:val="00491089"/>
    <w:rsid w:val="004914E1"/>
    <w:rsid w:val="004919F1"/>
    <w:rsid w:val="00491B44"/>
    <w:rsid w:val="00496A22"/>
    <w:rsid w:val="00496EDC"/>
    <w:rsid w:val="004971FD"/>
    <w:rsid w:val="004A0037"/>
    <w:rsid w:val="004A5002"/>
    <w:rsid w:val="004A7E9C"/>
    <w:rsid w:val="004B06D1"/>
    <w:rsid w:val="004B07F0"/>
    <w:rsid w:val="004B2DBA"/>
    <w:rsid w:val="004B53D1"/>
    <w:rsid w:val="004C1E9A"/>
    <w:rsid w:val="004C3F52"/>
    <w:rsid w:val="004D0C67"/>
    <w:rsid w:val="004D2056"/>
    <w:rsid w:val="004E42FB"/>
    <w:rsid w:val="004E49D3"/>
    <w:rsid w:val="004E799B"/>
    <w:rsid w:val="004F3E7A"/>
    <w:rsid w:val="004F6766"/>
    <w:rsid w:val="004F75C3"/>
    <w:rsid w:val="005016CA"/>
    <w:rsid w:val="00503B0B"/>
    <w:rsid w:val="00505442"/>
    <w:rsid w:val="00506780"/>
    <w:rsid w:val="0051111F"/>
    <w:rsid w:val="00511884"/>
    <w:rsid w:val="00513209"/>
    <w:rsid w:val="00514A82"/>
    <w:rsid w:val="00520825"/>
    <w:rsid w:val="00522AC0"/>
    <w:rsid w:val="00522E90"/>
    <w:rsid w:val="00524C3A"/>
    <w:rsid w:val="00525491"/>
    <w:rsid w:val="00530506"/>
    <w:rsid w:val="00532DD4"/>
    <w:rsid w:val="0053777C"/>
    <w:rsid w:val="00545165"/>
    <w:rsid w:val="00545F52"/>
    <w:rsid w:val="005464D4"/>
    <w:rsid w:val="005507A4"/>
    <w:rsid w:val="00551FE1"/>
    <w:rsid w:val="0055269C"/>
    <w:rsid w:val="005534C4"/>
    <w:rsid w:val="00555CA7"/>
    <w:rsid w:val="00555F72"/>
    <w:rsid w:val="005616D8"/>
    <w:rsid w:val="00562698"/>
    <w:rsid w:val="005655E0"/>
    <w:rsid w:val="00565EA7"/>
    <w:rsid w:val="00576D1E"/>
    <w:rsid w:val="005774F0"/>
    <w:rsid w:val="005801E7"/>
    <w:rsid w:val="005827C9"/>
    <w:rsid w:val="00582C32"/>
    <w:rsid w:val="005859BD"/>
    <w:rsid w:val="00586B6C"/>
    <w:rsid w:val="00596232"/>
    <w:rsid w:val="00596890"/>
    <w:rsid w:val="005972DE"/>
    <w:rsid w:val="005A21CF"/>
    <w:rsid w:val="005A4811"/>
    <w:rsid w:val="005B0FA1"/>
    <w:rsid w:val="005B2942"/>
    <w:rsid w:val="005B4801"/>
    <w:rsid w:val="005B4A54"/>
    <w:rsid w:val="005B50F3"/>
    <w:rsid w:val="005B691F"/>
    <w:rsid w:val="005B7D0D"/>
    <w:rsid w:val="005B7EC4"/>
    <w:rsid w:val="005C0CC9"/>
    <w:rsid w:val="005C0EAE"/>
    <w:rsid w:val="005C1229"/>
    <w:rsid w:val="005C2B8C"/>
    <w:rsid w:val="005C3157"/>
    <w:rsid w:val="005C3B33"/>
    <w:rsid w:val="005C4DFB"/>
    <w:rsid w:val="005C6DB1"/>
    <w:rsid w:val="005D3923"/>
    <w:rsid w:val="005D7532"/>
    <w:rsid w:val="005E2389"/>
    <w:rsid w:val="005F094A"/>
    <w:rsid w:val="005F18CE"/>
    <w:rsid w:val="005F259E"/>
    <w:rsid w:val="005F4546"/>
    <w:rsid w:val="0060052B"/>
    <w:rsid w:val="006009B4"/>
    <w:rsid w:val="00601EE7"/>
    <w:rsid w:val="00601F61"/>
    <w:rsid w:val="00610743"/>
    <w:rsid w:val="00611757"/>
    <w:rsid w:val="0061291C"/>
    <w:rsid w:val="006131A0"/>
    <w:rsid w:val="00614413"/>
    <w:rsid w:val="006148DD"/>
    <w:rsid w:val="00617155"/>
    <w:rsid w:val="006302C2"/>
    <w:rsid w:val="00633188"/>
    <w:rsid w:val="00633591"/>
    <w:rsid w:val="0063553F"/>
    <w:rsid w:val="00640780"/>
    <w:rsid w:val="00647FF4"/>
    <w:rsid w:val="00656E41"/>
    <w:rsid w:val="006665C7"/>
    <w:rsid w:val="00667D08"/>
    <w:rsid w:val="00670BBA"/>
    <w:rsid w:val="0067297B"/>
    <w:rsid w:val="00675377"/>
    <w:rsid w:val="006901DA"/>
    <w:rsid w:val="00696878"/>
    <w:rsid w:val="0069764E"/>
    <w:rsid w:val="006A0C65"/>
    <w:rsid w:val="006A5809"/>
    <w:rsid w:val="006A7CD5"/>
    <w:rsid w:val="006B62B4"/>
    <w:rsid w:val="006B6622"/>
    <w:rsid w:val="006C0F17"/>
    <w:rsid w:val="006C2243"/>
    <w:rsid w:val="006C26C5"/>
    <w:rsid w:val="006C550F"/>
    <w:rsid w:val="006D29D5"/>
    <w:rsid w:val="006E0F7D"/>
    <w:rsid w:val="006E5260"/>
    <w:rsid w:val="006F428E"/>
    <w:rsid w:val="006F536D"/>
    <w:rsid w:val="006F7020"/>
    <w:rsid w:val="00703362"/>
    <w:rsid w:val="007115C5"/>
    <w:rsid w:val="007139D6"/>
    <w:rsid w:val="00715591"/>
    <w:rsid w:val="0072199B"/>
    <w:rsid w:val="00725B6C"/>
    <w:rsid w:val="00731590"/>
    <w:rsid w:val="007338DE"/>
    <w:rsid w:val="0073567D"/>
    <w:rsid w:val="007372AD"/>
    <w:rsid w:val="0074359C"/>
    <w:rsid w:val="0074429C"/>
    <w:rsid w:val="00746712"/>
    <w:rsid w:val="00746F62"/>
    <w:rsid w:val="00747274"/>
    <w:rsid w:val="00752E40"/>
    <w:rsid w:val="007602D0"/>
    <w:rsid w:val="00760B6A"/>
    <w:rsid w:val="0076325B"/>
    <w:rsid w:val="00771DE2"/>
    <w:rsid w:val="0077238D"/>
    <w:rsid w:val="00773003"/>
    <w:rsid w:val="00774E99"/>
    <w:rsid w:val="007762FC"/>
    <w:rsid w:val="00780D85"/>
    <w:rsid w:val="0079412D"/>
    <w:rsid w:val="0079573A"/>
    <w:rsid w:val="00797B34"/>
    <w:rsid w:val="00797FF8"/>
    <w:rsid w:val="007A0DBE"/>
    <w:rsid w:val="007A1D64"/>
    <w:rsid w:val="007A527E"/>
    <w:rsid w:val="007A58F8"/>
    <w:rsid w:val="007A653B"/>
    <w:rsid w:val="007A75BC"/>
    <w:rsid w:val="007A7C67"/>
    <w:rsid w:val="007B2A67"/>
    <w:rsid w:val="007C00E8"/>
    <w:rsid w:val="007C0144"/>
    <w:rsid w:val="007C0205"/>
    <w:rsid w:val="007D02BE"/>
    <w:rsid w:val="007D1D5A"/>
    <w:rsid w:val="007D21C7"/>
    <w:rsid w:val="007E173A"/>
    <w:rsid w:val="007E49C5"/>
    <w:rsid w:val="007E5747"/>
    <w:rsid w:val="007E6032"/>
    <w:rsid w:val="007E620C"/>
    <w:rsid w:val="007F25B0"/>
    <w:rsid w:val="007F261E"/>
    <w:rsid w:val="007F2714"/>
    <w:rsid w:val="00803D84"/>
    <w:rsid w:val="008060D4"/>
    <w:rsid w:val="00813BEE"/>
    <w:rsid w:val="008150DC"/>
    <w:rsid w:val="00815445"/>
    <w:rsid w:val="00815C8E"/>
    <w:rsid w:val="00820AB0"/>
    <w:rsid w:val="00821B7E"/>
    <w:rsid w:val="00823AE8"/>
    <w:rsid w:val="008240B6"/>
    <w:rsid w:val="008246F2"/>
    <w:rsid w:val="00825CDA"/>
    <w:rsid w:val="00826104"/>
    <w:rsid w:val="00827961"/>
    <w:rsid w:val="00835EFD"/>
    <w:rsid w:val="008401E3"/>
    <w:rsid w:val="00846619"/>
    <w:rsid w:val="00850CBA"/>
    <w:rsid w:val="00854C0C"/>
    <w:rsid w:val="008563D6"/>
    <w:rsid w:val="0085718E"/>
    <w:rsid w:val="00857B23"/>
    <w:rsid w:val="00861A1A"/>
    <w:rsid w:val="00862F2A"/>
    <w:rsid w:val="00864F14"/>
    <w:rsid w:val="0086527D"/>
    <w:rsid w:val="0086615D"/>
    <w:rsid w:val="0087163B"/>
    <w:rsid w:val="00871A5E"/>
    <w:rsid w:val="008729ED"/>
    <w:rsid w:val="008737B1"/>
    <w:rsid w:val="00875791"/>
    <w:rsid w:val="00880E6B"/>
    <w:rsid w:val="00885638"/>
    <w:rsid w:val="00886888"/>
    <w:rsid w:val="00891A75"/>
    <w:rsid w:val="00895399"/>
    <w:rsid w:val="00896288"/>
    <w:rsid w:val="008970D2"/>
    <w:rsid w:val="008A00D7"/>
    <w:rsid w:val="008A3774"/>
    <w:rsid w:val="008A7621"/>
    <w:rsid w:val="008C2194"/>
    <w:rsid w:val="008C3798"/>
    <w:rsid w:val="008C4229"/>
    <w:rsid w:val="008C6EB3"/>
    <w:rsid w:val="008D0860"/>
    <w:rsid w:val="008D1043"/>
    <w:rsid w:val="008D42EE"/>
    <w:rsid w:val="008D5B59"/>
    <w:rsid w:val="008E1A5B"/>
    <w:rsid w:val="008E37A1"/>
    <w:rsid w:val="008E4E05"/>
    <w:rsid w:val="008F6D71"/>
    <w:rsid w:val="00900DA3"/>
    <w:rsid w:val="00902997"/>
    <w:rsid w:val="009115F9"/>
    <w:rsid w:val="00912DD6"/>
    <w:rsid w:val="00915FB1"/>
    <w:rsid w:val="00917022"/>
    <w:rsid w:val="009178AB"/>
    <w:rsid w:val="00920378"/>
    <w:rsid w:val="00920D00"/>
    <w:rsid w:val="00926DD8"/>
    <w:rsid w:val="009303FD"/>
    <w:rsid w:val="00931E2E"/>
    <w:rsid w:val="0093534E"/>
    <w:rsid w:val="00935776"/>
    <w:rsid w:val="00945122"/>
    <w:rsid w:val="00947F30"/>
    <w:rsid w:val="0095150B"/>
    <w:rsid w:val="0095433C"/>
    <w:rsid w:val="00960FD3"/>
    <w:rsid w:val="009618BA"/>
    <w:rsid w:val="00972E5B"/>
    <w:rsid w:val="009759DB"/>
    <w:rsid w:val="00981D5F"/>
    <w:rsid w:val="0098606B"/>
    <w:rsid w:val="00987711"/>
    <w:rsid w:val="00987B59"/>
    <w:rsid w:val="0099177C"/>
    <w:rsid w:val="00995421"/>
    <w:rsid w:val="00995795"/>
    <w:rsid w:val="00995951"/>
    <w:rsid w:val="009A4930"/>
    <w:rsid w:val="009A5507"/>
    <w:rsid w:val="009A779D"/>
    <w:rsid w:val="009B1EEA"/>
    <w:rsid w:val="009B3736"/>
    <w:rsid w:val="009B3A7B"/>
    <w:rsid w:val="009B526C"/>
    <w:rsid w:val="009C1ED7"/>
    <w:rsid w:val="009C3FAE"/>
    <w:rsid w:val="009C60BC"/>
    <w:rsid w:val="009D0046"/>
    <w:rsid w:val="009D2390"/>
    <w:rsid w:val="009D3984"/>
    <w:rsid w:val="009D540C"/>
    <w:rsid w:val="009E53D6"/>
    <w:rsid w:val="009E6E08"/>
    <w:rsid w:val="009F5682"/>
    <w:rsid w:val="009F707B"/>
    <w:rsid w:val="00A01FF9"/>
    <w:rsid w:val="00A03134"/>
    <w:rsid w:val="00A05F97"/>
    <w:rsid w:val="00A06022"/>
    <w:rsid w:val="00A11B73"/>
    <w:rsid w:val="00A132F5"/>
    <w:rsid w:val="00A14CB8"/>
    <w:rsid w:val="00A14E2E"/>
    <w:rsid w:val="00A17EBB"/>
    <w:rsid w:val="00A216EA"/>
    <w:rsid w:val="00A23064"/>
    <w:rsid w:val="00A24B88"/>
    <w:rsid w:val="00A30C09"/>
    <w:rsid w:val="00A31E83"/>
    <w:rsid w:val="00A32B54"/>
    <w:rsid w:val="00A33381"/>
    <w:rsid w:val="00A40DA0"/>
    <w:rsid w:val="00A42C95"/>
    <w:rsid w:val="00A42DCE"/>
    <w:rsid w:val="00A45077"/>
    <w:rsid w:val="00A5489F"/>
    <w:rsid w:val="00A562DD"/>
    <w:rsid w:val="00A56CA1"/>
    <w:rsid w:val="00A57710"/>
    <w:rsid w:val="00A60E8C"/>
    <w:rsid w:val="00A62928"/>
    <w:rsid w:val="00A67CCD"/>
    <w:rsid w:val="00A83AF9"/>
    <w:rsid w:val="00A8509E"/>
    <w:rsid w:val="00A93510"/>
    <w:rsid w:val="00A94A76"/>
    <w:rsid w:val="00A9684C"/>
    <w:rsid w:val="00A96AB8"/>
    <w:rsid w:val="00AA4570"/>
    <w:rsid w:val="00AA6F9B"/>
    <w:rsid w:val="00AB1195"/>
    <w:rsid w:val="00AB2ABB"/>
    <w:rsid w:val="00AB4F85"/>
    <w:rsid w:val="00AB7AB7"/>
    <w:rsid w:val="00AC0DF1"/>
    <w:rsid w:val="00AC10D2"/>
    <w:rsid w:val="00AC5780"/>
    <w:rsid w:val="00AC69CA"/>
    <w:rsid w:val="00AC7719"/>
    <w:rsid w:val="00AD3603"/>
    <w:rsid w:val="00AD4F9F"/>
    <w:rsid w:val="00AD6390"/>
    <w:rsid w:val="00AE037B"/>
    <w:rsid w:val="00AE39E6"/>
    <w:rsid w:val="00AE4167"/>
    <w:rsid w:val="00AE4753"/>
    <w:rsid w:val="00AF03D4"/>
    <w:rsid w:val="00AF22EA"/>
    <w:rsid w:val="00AF3E80"/>
    <w:rsid w:val="00B02A87"/>
    <w:rsid w:val="00B0308E"/>
    <w:rsid w:val="00B032B8"/>
    <w:rsid w:val="00B04D31"/>
    <w:rsid w:val="00B0526D"/>
    <w:rsid w:val="00B07637"/>
    <w:rsid w:val="00B07B8D"/>
    <w:rsid w:val="00B22ECD"/>
    <w:rsid w:val="00B23E04"/>
    <w:rsid w:val="00B308F1"/>
    <w:rsid w:val="00B30922"/>
    <w:rsid w:val="00B32E71"/>
    <w:rsid w:val="00B33314"/>
    <w:rsid w:val="00B34691"/>
    <w:rsid w:val="00B350EF"/>
    <w:rsid w:val="00B36A63"/>
    <w:rsid w:val="00B37E16"/>
    <w:rsid w:val="00B412D2"/>
    <w:rsid w:val="00B502E1"/>
    <w:rsid w:val="00B50585"/>
    <w:rsid w:val="00B5188A"/>
    <w:rsid w:val="00B56E28"/>
    <w:rsid w:val="00B57FA3"/>
    <w:rsid w:val="00B606E9"/>
    <w:rsid w:val="00B60C75"/>
    <w:rsid w:val="00B61AEB"/>
    <w:rsid w:val="00B73364"/>
    <w:rsid w:val="00B75D12"/>
    <w:rsid w:val="00B849C0"/>
    <w:rsid w:val="00B92D26"/>
    <w:rsid w:val="00B92EAE"/>
    <w:rsid w:val="00B9598F"/>
    <w:rsid w:val="00B959E3"/>
    <w:rsid w:val="00B96621"/>
    <w:rsid w:val="00B968E2"/>
    <w:rsid w:val="00BA3C39"/>
    <w:rsid w:val="00BA7152"/>
    <w:rsid w:val="00BB22EC"/>
    <w:rsid w:val="00BC144D"/>
    <w:rsid w:val="00BC181E"/>
    <w:rsid w:val="00BC551D"/>
    <w:rsid w:val="00BD032A"/>
    <w:rsid w:val="00BD0C83"/>
    <w:rsid w:val="00BD180C"/>
    <w:rsid w:val="00BD3224"/>
    <w:rsid w:val="00BD3CBA"/>
    <w:rsid w:val="00BD6237"/>
    <w:rsid w:val="00BE43AE"/>
    <w:rsid w:val="00BE4E5F"/>
    <w:rsid w:val="00BF3AB0"/>
    <w:rsid w:val="00C02612"/>
    <w:rsid w:val="00C04372"/>
    <w:rsid w:val="00C10C2A"/>
    <w:rsid w:val="00C1668D"/>
    <w:rsid w:val="00C22F35"/>
    <w:rsid w:val="00C2745E"/>
    <w:rsid w:val="00C32105"/>
    <w:rsid w:val="00C32130"/>
    <w:rsid w:val="00C32D3C"/>
    <w:rsid w:val="00C367CC"/>
    <w:rsid w:val="00C37B3B"/>
    <w:rsid w:val="00C43720"/>
    <w:rsid w:val="00C47DCB"/>
    <w:rsid w:val="00C47F68"/>
    <w:rsid w:val="00C53C83"/>
    <w:rsid w:val="00C5693D"/>
    <w:rsid w:val="00C63036"/>
    <w:rsid w:val="00C67181"/>
    <w:rsid w:val="00C71927"/>
    <w:rsid w:val="00C72963"/>
    <w:rsid w:val="00C766AB"/>
    <w:rsid w:val="00C77B7D"/>
    <w:rsid w:val="00C80818"/>
    <w:rsid w:val="00C80C2A"/>
    <w:rsid w:val="00C820AF"/>
    <w:rsid w:val="00C85FDE"/>
    <w:rsid w:val="00C91748"/>
    <w:rsid w:val="00C93A53"/>
    <w:rsid w:val="00CA5B73"/>
    <w:rsid w:val="00CA698B"/>
    <w:rsid w:val="00CB204D"/>
    <w:rsid w:val="00CC246E"/>
    <w:rsid w:val="00CC2C98"/>
    <w:rsid w:val="00CC5C82"/>
    <w:rsid w:val="00CC6018"/>
    <w:rsid w:val="00CC68F6"/>
    <w:rsid w:val="00CD348B"/>
    <w:rsid w:val="00CD3809"/>
    <w:rsid w:val="00CE10A6"/>
    <w:rsid w:val="00CE697A"/>
    <w:rsid w:val="00CE729A"/>
    <w:rsid w:val="00CF15D2"/>
    <w:rsid w:val="00CF231E"/>
    <w:rsid w:val="00CF2B90"/>
    <w:rsid w:val="00CF7872"/>
    <w:rsid w:val="00D01F14"/>
    <w:rsid w:val="00D0260B"/>
    <w:rsid w:val="00D03B43"/>
    <w:rsid w:val="00D04A31"/>
    <w:rsid w:val="00D07A75"/>
    <w:rsid w:val="00D1081F"/>
    <w:rsid w:val="00D1244E"/>
    <w:rsid w:val="00D16641"/>
    <w:rsid w:val="00D21509"/>
    <w:rsid w:val="00D21E08"/>
    <w:rsid w:val="00D2332D"/>
    <w:rsid w:val="00D24F6C"/>
    <w:rsid w:val="00D26B22"/>
    <w:rsid w:val="00D3000B"/>
    <w:rsid w:val="00D31015"/>
    <w:rsid w:val="00D40AED"/>
    <w:rsid w:val="00D421F1"/>
    <w:rsid w:val="00D47108"/>
    <w:rsid w:val="00D51F75"/>
    <w:rsid w:val="00D52154"/>
    <w:rsid w:val="00D53DD6"/>
    <w:rsid w:val="00D53FB2"/>
    <w:rsid w:val="00D55A79"/>
    <w:rsid w:val="00D6325B"/>
    <w:rsid w:val="00D70A9B"/>
    <w:rsid w:val="00D70D40"/>
    <w:rsid w:val="00D710C3"/>
    <w:rsid w:val="00D74D95"/>
    <w:rsid w:val="00D9687C"/>
    <w:rsid w:val="00DA0278"/>
    <w:rsid w:val="00DA238E"/>
    <w:rsid w:val="00DA2652"/>
    <w:rsid w:val="00DA32D5"/>
    <w:rsid w:val="00DA3F7E"/>
    <w:rsid w:val="00DB035E"/>
    <w:rsid w:val="00DB4F48"/>
    <w:rsid w:val="00DC3A51"/>
    <w:rsid w:val="00DC50CF"/>
    <w:rsid w:val="00DC655F"/>
    <w:rsid w:val="00DC6986"/>
    <w:rsid w:val="00DE2602"/>
    <w:rsid w:val="00DE7B0A"/>
    <w:rsid w:val="00DF0BA7"/>
    <w:rsid w:val="00DF19A7"/>
    <w:rsid w:val="00DF21DE"/>
    <w:rsid w:val="00DF470C"/>
    <w:rsid w:val="00DF692F"/>
    <w:rsid w:val="00E00807"/>
    <w:rsid w:val="00E01706"/>
    <w:rsid w:val="00E127BA"/>
    <w:rsid w:val="00E133B9"/>
    <w:rsid w:val="00E14771"/>
    <w:rsid w:val="00E20BD8"/>
    <w:rsid w:val="00E229D8"/>
    <w:rsid w:val="00E31B2C"/>
    <w:rsid w:val="00E32058"/>
    <w:rsid w:val="00E32300"/>
    <w:rsid w:val="00E3260A"/>
    <w:rsid w:val="00E340F4"/>
    <w:rsid w:val="00E341D7"/>
    <w:rsid w:val="00E3774A"/>
    <w:rsid w:val="00E37AE9"/>
    <w:rsid w:val="00E4002C"/>
    <w:rsid w:val="00E45E2E"/>
    <w:rsid w:val="00E468AE"/>
    <w:rsid w:val="00E4747B"/>
    <w:rsid w:val="00E475C5"/>
    <w:rsid w:val="00E5027E"/>
    <w:rsid w:val="00E550C4"/>
    <w:rsid w:val="00E56EC9"/>
    <w:rsid w:val="00E57EA7"/>
    <w:rsid w:val="00E67B05"/>
    <w:rsid w:val="00E7407C"/>
    <w:rsid w:val="00E75E6F"/>
    <w:rsid w:val="00E838D8"/>
    <w:rsid w:val="00E8596D"/>
    <w:rsid w:val="00E85F04"/>
    <w:rsid w:val="00E95136"/>
    <w:rsid w:val="00E95F65"/>
    <w:rsid w:val="00EA1632"/>
    <w:rsid w:val="00EA23F2"/>
    <w:rsid w:val="00EA2F0A"/>
    <w:rsid w:val="00EA6F96"/>
    <w:rsid w:val="00EB0C24"/>
    <w:rsid w:val="00EB35E5"/>
    <w:rsid w:val="00EB6342"/>
    <w:rsid w:val="00EB680E"/>
    <w:rsid w:val="00EB72CF"/>
    <w:rsid w:val="00EC61C6"/>
    <w:rsid w:val="00EC6E75"/>
    <w:rsid w:val="00EC7C2C"/>
    <w:rsid w:val="00ED118A"/>
    <w:rsid w:val="00EE1BD2"/>
    <w:rsid w:val="00EE2A8B"/>
    <w:rsid w:val="00EE57DC"/>
    <w:rsid w:val="00EF0C3F"/>
    <w:rsid w:val="00EF27D8"/>
    <w:rsid w:val="00EF53B3"/>
    <w:rsid w:val="00EF6448"/>
    <w:rsid w:val="00F01118"/>
    <w:rsid w:val="00F0293C"/>
    <w:rsid w:val="00F03987"/>
    <w:rsid w:val="00F03D7E"/>
    <w:rsid w:val="00F100D6"/>
    <w:rsid w:val="00F10AB6"/>
    <w:rsid w:val="00F10B06"/>
    <w:rsid w:val="00F16250"/>
    <w:rsid w:val="00F21050"/>
    <w:rsid w:val="00F21874"/>
    <w:rsid w:val="00F2210B"/>
    <w:rsid w:val="00F2534F"/>
    <w:rsid w:val="00F31778"/>
    <w:rsid w:val="00F32B5A"/>
    <w:rsid w:val="00F35CBB"/>
    <w:rsid w:val="00F37156"/>
    <w:rsid w:val="00F41683"/>
    <w:rsid w:val="00F43B07"/>
    <w:rsid w:val="00F43C80"/>
    <w:rsid w:val="00F43CB7"/>
    <w:rsid w:val="00F44CBF"/>
    <w:rsid w:val="00F4730A"/>
    <w:rsid w:val="00F532F6"/>
    <w:rsid w:val="00F62162"/>
    <w:rsid w:val="00F64A25"/>
    <w:rsid w:val="00F74CD3"/>
    <w:rsid w:val="00F75671"/>
    <w:rsid w:val="00F80AE8"/>
    <w:rsid w:val="00F848AF"/>
    <w:rsid w:val="00F8522F"/>
    <w:rsid w:val="00F9057E"/>
    <w:rsid w:val="00F914F9"/>
    <w:rsid w:val="00F95938"/>
    <w:rsid w:val="00F95A73"/>
    <w:rsid w:val="00FA162F"/>
    <w:rsid w:val="00FA3206"/>
    <w:rsid w:val="00FA4091"/>
    <w:rsid w:val="00FA5A6F"/>
    <w:rsid w:val="00FB081A"/>
    <w:rsid w:val="00FB0C12"/>
    <w:rsid w:val="00FB6600"/>
    <w:rsid w:val="00FC409E"/>
    <w:rsid w:val="00FC77E8"/>
    <w:rsid w:val="00FD2A54"/>
    <w:rsid w:val="00FD51DE"/>
    <w:rsid w:val="00FD54E7"/>
    <w:rsid w:val="00FD5BEA"/>
    <w:rsid w:val="00FE09F8"/>
    <w:rsid w:val="00FE2E22"/>
    <w:rsid w:val="00FE3EC5"/>
    <w:rsid w:val="00FE5F70"/>
    <w:rsid w:val="00FF0488"/>
    <w:rsid w:val="00FF2D45"/>
    <w:rsid w:val="00FF6385"/>
    <w:rsid w:val="02165851"/>
    <w:rsid w:val="021E0C8B"/>
    <w:rsid w:val="023E4C0C"/>
    <w:rsid w:val="025E659D"/>
    <w:rsid w:val="02C35355"/>
    <w:rsid w:val="02E7F23A"/>
    <w:rsid w:val="035B270D"/>
    <w:rsid w:val="03AAA05E"/>
    <w:rsid w:val="03B9F6E8"/>
    <w:rsid w:val="03EF2F6F"/>
    <w:rsid w:val="03F2C149"/>
    <w:rsid w:val="04FEA9DF"/>
    <w:rsid w:val="0517934B"/>
    <w:rsid w:val="0646F8A4"/>
    <w:rsid w:val="0649D745"/>
    <w:rsid w:val="06A67641"/>
    <w:rsid w:val="075B9582"/>
    <w:rsid w:val="077CDE04"/>
    <w:rsid w:val="08C5249B"/>
    <w:rsid w:val="08F9C9BB"/>
    <w:rsid w:val="091F3897"/>
    <w:rsid w:val="095C9108"/>
    <w:rsid w:val="0ACB4B5E"/>
    <w:rsid w:val="0AE8A2AF"/>
    <w:rsid w:val="0B135019"/>
    <w:rsid w:val="0BACEC8B"/>
    <w:rsid w:val="0C50D863"/>
    <w:rsid w:val="0CE21596"/>
    <w:rsid w:val="0D0C2361"/>
    <w:rsid w:val="0DCC0020"/>
    <w:rsid w:val="0DD4085F"/>
    <w:rsid w:val="0ED07A29"/>
    <w:rsid w:val="1001330B"/>
    <w:rsid w:val="116DB63E"/>
    <w:rsid w:val="1331EB0E"/>
    <w:rsid w:val="141DE537"/>
    <w:rsid w:val="17613E50"/>
    <w:rsid w:val="18096F3B"/>
    <w:rsid w:val="191F4A72"/>
    <w:rsid w:val="1A63CCCC"/>
    <w:rsid w:val="1AA1EA11"/>
    <w:rsid w:val="1B05BF78"/>
    <w:rsid w:val="1B5155CF"/>
    <w:rsid w:val="1B6F995F"/>
    <w:rsid w:val="1B9978FC"/>
    <w:rsid w:val="1BC13564"/>
    <w:rsid w:val="1BCA74EB"/>
    <w:rsid w:val="1C459B00"/>
    <w:rsid w:val="1CF79912"/>
    <w:rsid w:val="1D9D0D77"/>
    <w:rsid w:val="1DDF8504"/>
    <w:rsid w:val="1E6997C2"/>
    <w:rsid w:val="1E903D7E"/>
    <w:rsid w:val="1F0B275C"/>
    <w:rsid w:val="1F5EC2AB"/>
    <w:rsid w:val="1F678AD8"/>
    <w:rsid w:val="218B850D"/>
    <w:rsid w:val="221C5665"/>
    <w:rsid w:val="229685E1"/>
    <w:rsid w:val="23238D23"/>
    <w:rsid w:val="237B0392"/>
    <w:rsid w:val="241DCA99"/>
    <w:rsid w:val="24868D2E"/>
    <w:rsid w:val="24C2DFBE"/>
    <w:rsid w:val="2631AA44"/>
    <w:rsid w:val="264BF65E"/>
    <w:rsid w:val="269A288D"/>
    <w:rsid w:val="273B7593"/>
    <w:rsid w:val="27972B6C"/>
    <w:rsid w:val="289637E5"/>
    <w:rsid w:val="290E22E6"/>
    <w:rsid w:val="299A5BBC"/>
    <w:rsid w:val="29ABBE84"/>
    <w:rsid w:val="29B18641"/>
    <w:rsid w:val="29CC6D2E"/>
    <w:rsid w:val="2A405B03"/>
    <w:rsid w:val="2A7A3317"/>
    <w:rsid w:val="2AB23BEC"/>
    <w:rsid w:val="2C06BA08"/>
    <w:rsid w:val="2D52C856"/>
    <w:rsid w:val="2D589EB6"/>
    <w:rsid w:val="2E228315"/>
    <w:rsid w:val="2E7D6DFB"/>
    <w:rsid w:val="2E857FAF"/>
    <w:rsid w:val="2EF96369"/>
    <w:rsid w:val="2F5FAF08"/>
    <w:rsid w:val="30F10D6B"/>
    <w:rsid w:val="31C6D5D5"/>
    <w:rsid w:val="3387C260"/>
    <w:rsid w:val="33E6E609"/>
    <w:rsid w:val="34AE2742"/>
    <w:rsid w:val="34D8142E"/>
    <w:rsid w:val="34E926CB"/>
    <w:rsid w:val="34EB15B6"/>
    <w:rsid w:val="34F2F502"/>
    <w:rsid w:val="35A420A5"/>
    <w:rsid w:val="369BFC01"/>
    <w:rsid w:val="36E9CBF0"/>
    <w:rsid w:val="375F99DB"/>
    <w:rsid w:val="3932C713"/>
    <w:rsid w:val="3B93DB5C"/>
    <w:rsid w:val="3B9930A0"/>
    <w:rsid w:val="3C806E16"/>
    <w:rsid w:val="3E1D6025"/>
    <w:rsid w:val="3E553117"/>
    <w:rsid w:val="3E77E02D"/>
    <w:rsid w:val="3F900ED1"/>
    <w:rsid w:val="40D02FE7"/>
    <w:rsid w:val="41252A0F"/>
    <w:rsid w:val="4355B65F"/>
    <w:rsid w:val="43A0DD77"/>
    <w:rsid w:val="43BCA8E9"/>
    <w:rsid w:val="44633155"/>
    <w:rsid w:val="480FE73B"/>
    <w:rsid w:val="4840FB21"/>
    <w:rsid w:val="48B43648"/>
    <w:rsid w:val="48CF311F"/>
    <w:rsid w:val="4943CF4D"/>
    <w:rsid w:val="4947748B"/>
    <w:rsid w:val="4B9E1C4B"/>
    <w:rsid w:val="4BEE2297"/>
    <w:rsid w:val="4BF9F6CF"/>
    <w:rsid w:val="4DC14745"/>
    <w:rsid w:val="4DE31E33"/>
    <w:rsid w:val="4E96C81D"/>
    <w:rsid w:val="4EB88962"/>
    <w:rsid w:val="4FFF8E26"/>
    <w:rsid w:val="50420B7D"/>
    <w:rsid w:val="506D916E"/>
    <w:rsid w:val="50D02995"/>
    <w:rsid w:val="538CD26B"/>
    <w:rsid w:val="562AB01D"/>
    <w:rsid w:val="56CFD15B"/>
    <w:rsid w:val="5763D0E1"/>
    <w:rsid w:val="57A7FD87"/>
    <w:rsid w:val="57E9A041"/>
    <w:rsid w:val="586EA933"/>
    <w:rsid w:val="588FCF07"/>
    <w:rsid w:val="58CAA527"/>
    <w:rsid w:val="58F6122D"/>
    <w:rsid w:val="591FFB84"/>
    <w:rsid w:val="5954BA66"/>
    <w:rsid w:val="59C06AF9"/>
    <w:rsid w:val="5B4C792A"/>
    <w:rsid w:val="5C00B20F"/>
    <w:rsid w:val="5C4B8132"/>
    <w:rsid w:val="5D296111"/>
    <w:rsid w:val="5D66992E"/>
    <w:rsid w:val="5D693AF2"/>
    <w:rsid w:val="5E714B7E"/>
    <w:rsid w:val="6036D9F2"/>
    <w:rsid w:val="60408F00"/>
    <w:rsid w:val="6061EB20"/>
    <w:rsid w:val="6178FCDC"/>
    <w:rsid w:val="619CAD78"/>
    <w:rsid w:val="61DDC11D"/>
    <w:rsid w:val="61EB571D"/>
    <w:rsid w:val="61FAD37B"/>
    <w:rsid w:val="622BA0B6"/>
    <w:rsid w:val="62608F7E"/>
    <w:rsid w:val="62BB73E6"/>
    <w:rsid w:val="631BFAF5"/>
    <w:rsid w:val="63B42185"/>
    <w:rsid w:val="65173B83"/>
    <w:rsid w:val="662B0566"/>
    <w:rsid w:val="6686EE10"/>
    <w:rsid w:val="66A460F8"/>
    <w:rsid w:val="67254B45"/>
    <w:rsid w:val="6746293F"/>
    <w:rsid w:val="6832CB1B"/>
    <w:rsid w:val="691BE256"/>
    <w:rsid w:val="6AE2C130"/>
    <w:rsid w:val="6B738BAD"/>
    <w:rsid w:val="6CA83DED"/>
    <w:rsid w:val="6DDEEBC4"/>
    <w:rsid w:val="6E914A74"/>
    <w:rsid w:val="6ED11757"/>
    <w:rsid w:val="6EEB141D"/>
    <w:rsid w:val="6EEF9F2A"/>
    <w:rsid w:val="713BB984"/>
    <w:rsid w:val="72B68164"/>
    <w:rsid w:val="730E8E49"/>
    <w:rsid w:val="7387C242"/>
    <w:rsid w:val="75201A3F"/>
    <w:rsid w:val="752664A3"/>
    <w:rsid w:val="75380593"/>
    <w:rsid w:val="75BD0C43"/>
    <w:rsid w:val="76D21790"/>
    <w:rsid w:val="785C1C49"/>
    <w:rsid w:val="787DFA44"/>
    <w:rsid w:val="78A6134B"/>
    <w:rsid w:val="79389595"/>
    <w:rsid w:val="79650570"/>
    <w:rsid w:val="7AD5660A"/>
    <w:rsid w:val="7B325E15"/>
    <w:rsid w:val="7BF3AE84"/>
    <w:rsid w:val="7C162ECA"/>
    <w:rsid w:val="7C176D0E"/>
    <w:rsid w:val="7C222A4C"/>
    <w:rsid w:val="7C877660"/>
    <w:rsid w:val="7DA9557C"/>
    <w:rsid w:val="7DD4AC51"/>
    <w:rsid w:val="7DD8AFFB"/>
    <w:rsid w:val="7EE7A550"/>
    <w:rsid w:val="7F29FC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1B257"/>
  <w15:chartTrackingRefBased/>
  <w15:docId w15:val="{4F4D6997-C729-4B80-A424-A43D19BE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111F"/>
    <w:pPr>
      <w:spacing w:before="160" w:after="0"/>
    </w:pPr>
  </w:style>
  <w:style w:type="paragraph" w:styleId="Heading1">
    <w:name w:val="heading 1"/>
    <w:basedOn w:val="Normal"/>
    <w:next w:val="Normal"/>
    <w:link w:val="Heading1Char"/>
    <w:uiPriority w:val="9"/>
    <w:qFormat/>
    <w:rsid w:val="006302C2"/>
    <w:pPr>
      <w:keepNext/>
      <w:keepLines/>
      <w:pageBreakBefore/>
      <w:numPr>
        <w:numId w:val="5"/>
      </w:numPr>
      <w:spacing w:before="360" w:after="240"/>
      <w:outlineLvl w:val="0"/>
    </w:pPr>
    <w:rPr>
      <w:rFonts w:asciiTheme="majorHAnsi" w:eastAsiaTheme="majorEastAsia" w:hAnsiTheme="majorHAnsi" w:cstheme="majorBidi"/>
      <w:color w:val="BE1E2D" w:themeColor="text2"/>
      <w:sz w:val="46"/>
      <w:szCs w:val="32"/>
    </w:rPr>
  </w:style>
  <w:style w:type="paragraph" w:styleId="Heading2">
    <w:name w:val="heading 2"/>
    <w:basedOn w:val="Normal"/>
    <w:next w:val="Normal"/>
    <w:link w:val="Heading2Char"/>
    <w:uiPriority w:val="9"/>
    <w:unhideWhenUsed/>
    <w:qFormat/>
    <w:rsid w:val="002177EF"/>
    <w:pPr>
      <w:keepNext/>
      <w:keepLines/>
      <w:numPr>
        <w:ilvl w:val="1"/>
        <w:numId w:val="5"/>
      </w:numPr>
      <w:spacing w:before="360"/>
      <w:outlineLvl w:val="1"/>
    </w:pPr>
    <w:rPr>
      <w:rFonts w:asciiTheme="majorHAnsi" w:eastAsiaTheme="majorEastAsia" w:hAnsiTheme="majorHAnsi" w:cstheme="majorBidi"/>
      <w:sz w:val="34"/>
      <w:szCs w:val="26"/>
    </w:rPr>
  </w:style>
  <w:style w:type="paragraph" w:styleId="Heading3">
    <w:name w:val="heading 3"/>
    <w:basedOn w:val="Normal"/>
    <w:next w:val="Normal"/>
    <w:link w:val="Heading3Char"/>
    <w:uiPriority w:val="9"/>
    <w:unhideWhenUsed/>
    <w:qFormat/>
    <w:rsid w:val="00902997"/>
    <w:pPr>
      <w:keepNext/>
      <w:keepLines/>
      <w:numPr>
        <w:numId w:val="21"/>
      </w:numPr>
      <w:spacing w:before="240"/>
      <w:ind w:left="576"/>
      <w:outlineLvl w:val="2"/>
    </w:pPr>
    <w:rPr>
      <w:rFonts w:asciiTheme="majorHAnsi" w:eastAsiaTheme="majorEastAsia" w:hAnsiTheme="majorHAnsi" w:cstheme="majorBidi"/>
      <w:b/>
      <w:color w:val="555A51" w:themeColor="background2" w:themeShade="80"/>
      <w:sz w:val="26"/>
      <w:szCs w:val="24"/>
    </w:rPr>
  </w:style>
  <w:style w:type="paragraph" w:styleId="Heading4">
    <w:name w:val="heading 4"/>
    <w:basedOn w:val="Heading3"/>
    <w:next w:val="Normal"/>
    <w:link w:val="Heading4Char"/>
    <w:uiPriority w:val="9"/>
    <w:unhideWhenUsed/>
    <w:qFormat/>
    <w:rsid w:val="00995951"/>
    <w:pPr>
      <w:numPr>
        <w:ilvl w:val="3"/>
        <w:numId w:val="5"/>
      </w:numPr>
      <w:outlineLvl w:val="3"/>
    </w:pPr>
    <w:rPr>
      <w:sz w:val="22"/>
      <w:szCs w:val="22"/>
    </w:rPr>
  </w:style>
  <w:style w:type="paragraph" w:styleId="Heading5">
    <w:name w:val="heading 5"/>
    <w:basedOn w:val="Normal"/>
    <w:next w:val="Normal"/>
    <w:link w:val="Heading5Char"/>
    <w:uiPriority w:val="9"/>
    <w:unhideWhenUsed/>
    <w:qFormat/>
    <w:rsid w:val="00611757"/>
    <w:pPr>
      <w:keepNext/>
      <w:keepLines/>
      <w:numPr>
        <w:ilvl w:val="4"/>
        <w:numId w:val="5"/>
      </w:numPr>
      <w:spacing w:before="40" w:line="240" w:lineRule="auto"/>
      <w:outlineLvl w:val="4"/>
    </w:pPr>
    <w:rPr>
      <w:rFonts w:asciiTheme="majorHAnsi" w:eastAsiaTheme="majorEastAsia" w:hAnsiTheme="majorHAnsi" w:cstheme="majorBidi"/>
      <w:color w:val="091D37" w:themeColor="accent1" w:themeShade="BF"/>
      <w:sz w:val="24"/>
      <w:szCs w:val="24"/>
      <w:lang w:val="en-CA"/>
    </w:rPr>
  </w:style>
  <w:style w:type="paragraph" w:styleId="Heading6">
    <w:name w:val="heading 6"/>
    <w:basedOn w:val="Normal"/>
    <w:next w:val="Normal"/>
    <w:link w:val="Heading6Char"/>
    <w:uiPriority w:val="9"/>
    <w:unhideWhenUsed/>
    <w:qFormat/>
    <w:rsid w:val="00611757"/>
    <w:pPr>
      <w:keepNext/>
      <w:keepLines/>
      <w:numPr>
        <w:ilvl w:val="5"/>
        <w:numId w:val="5"/>
      </w:numPr>
      <w:spacing w:before="40" w:line="240" w:lineRule="auto"/>
      <w:outlineLvl w:val="5"/>
    </w:pPr>
    <w:rPr>
      <w:rFonts w:asciiTheme="majorHAnsi" w:eastAsiaTheme="majorEastAsia" w:hAnsiTheme="majorHAnsi" w:cstheme="majorBidi"/>
      <w:color w:val="061325" w:themeColor="accent1" w:themeShade="7F"/>
      <w:sz w:val="24"/>
      <w:szCs w:val="24"/>
      <w:lang w:val="en-CA"/>
    </w:rPr>
  </w:style>
  <w:style w:type="paragraph" w:styleId="Heading7">
    <w:name w:val="heading 7"/>
    <w:basedOn w:val="Normal"/>
    <w:next w:val="Normal"/>
    <w:link w:val="Heading7Char"/>
    <w:uiPriority w:val="9"/>
    <w:semiHidden/>
    <w:unhideWhenUsed/>
    <w:qFormat/>
    <w:rsid w:val="00611757"/>
    <w:pPr>
      <w:keepNext/>
      <w:keepLines/>
      <w:numPr>
        <w:ilvl w:val="6"/>
        <w:numId w:val="5"/>
      </w:numPr>
      <w:spacing w:before="40" w:line="240" w:lineRule="auto"/>
      <w:outlineLvl w:val="6"/>
    </w:pPr>
    <w:rPr>
      <w:rFonts w:asciiTheme="majorHAnsi" w:eastAsiaTheme="majorEastAsia" w:hAnsiTheme="majorHAnsi" w:cstheme="majorBidi"/>
      <w:i/>
      <w:iCs/>
      <w:color w:val="061325" w:themeColor="accent1" w:themeShade="7F"/>
      <w:sz w:val="24"/>
      <w:szCs w:val="24"/>
      <w:lang w:val="en-CA"/>
    </w:rPr>
  </w:style>
  <w:style w:type="paragraph" w:styleId="Heading8">
    <w:name w:val="heading 8"/>
    <w:basedOn w:val="Normal"/>
    <w:next w:val="Normal"/>
    <w:link w:val="Heading8Char"/>
    <w:uiPriority w:val="9"/>
    <w:semiHidden/>
    <w:unhideWhenUsed/>
    <w:qFormat/>
    <w:rsid w:val="00611757"/>
    <w:pPr>
      <w:keepNext/>
      <w:keepLines/>
      <w:numPr>
        <w:ilvl w:val="7"/>
        <w:numId w:val="5"/>
      </w:numPr>
      <w:spacing w:before="40" w:line="240" w:lineRule="auto"/>
      <w:outlineLvl w:val="7"/>
    </w:pPr>
    <w:rPr>
      <w:rFonts w:asciiTheme="majorHAnsi" w:eastAsiaTheme="majorEastAsia" w:hAnsiTheme="majorHAnsi" w:cstheme="majorBidi"/>
      <w:color w:val="272727" w:themeColor="text1" w:themeTint="D8"/>
      <w:sz w:val="21"/>
      <w:szCs w:val="21"/>
      <w:lang w:val="en-CA"/>
    </w:rPr>
  </w:style>
  <w:style w:type="paragraph" w:styleId="Heading9">
    <w:name w:val="heading 9"/>
    <w:basedOn w:val="Normal"/>
    <w:next w:val="Normal"/>
    <w:link w:val="Heading9Char"/>
    <w:uiPriority w:val="9"/>
    <w:semiHidden/>
    <w:unhideWhenUsed/>
    <w:qFormat/>
    <w:rsid w:val="00611757"/>
    <w:pPr>
      <w:keepNext/>
      <w:keepLines/>
      <w:numPr>
        <w:ilvl w:val="8"/>
        <w:numId w:val="5"/>
      </w:numPr>
      <w:spacing w:before="40" w:line="240" w:lineRule="auto"/>
      <w:outlineLvl w:val="8"/>
    </w:pPr>
    <w:rPr>
      <w:rFonts w:asciiTheme="majorHAnsi" w:eastAsiaTheme="majorEastAsia" w:hAnsiTheme="majorHAnsi" w:cstheme="majorBidi"/>
      <w:i/>
      <w:iCs/>
      <w:color w:val="272727" w:themeColor="text1" w:themeTint="D8"/>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Bullet point,Bullet points,CV text,Content descriptions,Dot pt,F5 List Paragraph,L,List Paragraph1,List Paragraph11,List Paragraph111,Main,Medium Grid 1 - Accent 21,NFP GP Bulleted List,Numbered Paragraph,Recommendation"/>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rsid w:val="00A031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4"/>
    <w:rPr>
      <w:rFonts w:ascii="Segoe UI" w:hAnsi="Segoe UI" w:cs="Segoe UI"/>
      <w:sz w:val="18"/>
      <w:szCs w:val="18"/>
    </w:rPr>
  </w:style>
  <w:style w:type="character" w:customStyle="1" w:styleId="Heading1Char">
    <w:name w:val="Heading 1 Char"/>
    <w:basedOn w:val="DefaultParagraphFont"/>
    <w:link w:val="Heading1"/>
    <w:uiPriority w:val="9"/>
    <w:rsid w:val="006302C2"/>
    <w:rPr>
      <w:rFonts w:asciiTheme="majorHAnsi" w:eastAsiaTheme="majorEastAsia" w:hAnsiTheme="majorHAnsi" w:cstheme="majorBidi"/>
      <w:color w:val="BE1E2D" w:themeColor="text2"/>
      <w:sz w:val="46"/>
      <w:szCs w:val="32"/>
    </w:rPr>
  </w:style>
  <w:style w:type="paragraph" w:styleId="Title">
    <w:name w:val="Title"/>
    <w:basedOn w:val="Normal"/>
    <w:next w:val="Normal"/>
    <w:link w:val="TitleChar"/>
    <w:uiPriority w:val="10"/>
    <w:qFormat/>
    <w:rsid w:val="00D40AED"/>
    <w:rPr>
      <w:noProof/>
      <w:color w:val="555A51" w:themeColor="background2" w:themeShade="80"/>
      <w:sz w:val="96"/>
      <w:szCs w:val="96"/>
    </w:rPr>
  </w:style>
  <w:style w:type="character" w:customStyle="1" w:styleId="TitleChar">
    <w:name w:val="Title Char"/>
    <w:basedOn w:val="DefaultParagraphFont"/>
    <w:link w:val="Title"/>
    <w:uiPriority w:val="10"/>
    <w:rsid w:val="00D40AED"/>
    <w:rPr>
      <w:noProof/>
      <w:color w:val="555A51" w:themeColor="background2" w:themeShade="80"/>
      <w:sz w:val="96"/>
      <w:szCs w:val="96"/>
    </w:rPr>
  </w:style>
  <w:style w:type="paragraph" w:styleId="Header">
    <w:name w:val="header"/>
    <w:basedOn w:val="Normal"/>
    <w:link w:val="HeaderChar"/>
    <w:uiPriority w:val="99"/>
    <w:unhideWhenUsed/>
    <w:rsid w:val="00A32B54"/>
    <w:pPr>
      <w:tabs>
        <w:tab w:val="center" w:pos="4680"/>
        <w:tab w:val="right" w:pos="9360"/>
      </w:tabs>
      <w:spacing w:line="240" w:lineRule="auto"/>
    </w:pPr>
  </w:style>
  <w:style w:type="character" w:customStyle="1" w:styleId="HeaderChar">
    <w:name w:val="Header Char"/>
    <w:basedOn w:val="DefaultParagraphFont"/>
    <w:link w:val="Header"/>
    <w:uiPriority w:val="99"/>
    <w:rsid w:val="00A32B54"/>
  </w:style>
  <w:style w:type="paragraph" w:styleId="Footer">
    <w:name w:val="footer"/>
    <w:basedOn w:val="Normal"/>
    <w:link w:val="FooterChar"/>
    <w:uiPriority w:val="99"/>
    <w:unhideWhenUsed/>
    <w:rsid w:val="00114B00"/>
    <w:pPr>
      <w:tabs>
        <w:tab w:val="center" w:pos="4680"/>
        <w:tab w:val="right" w:pos="9360"/>
      </w:tabs>
      <w:spacing w:line="240" w:lineRule="auto"/>
    </w:pPr>
    <w:rPr>
      <w:sz w:val="18"/>
      <w:szCs w:val="18"/>
    </w:rPr>
  </w:style>
  <w:style w:type="character" w:customStyle="1" w:styleId="FooterChar">
    <w:name w:val="Footer Char"/>
    <w:basedOn w:val="DefaultParagraphFont"/>
    <w:link w:val="Footer"/>
    <w:uiPriority w:val="99"/>
    <w:rsid w:val="00114B00"/>
    <w:rPr>
      <w:color w:val="BE1E2D" w:themeColor="text2"/>
      <w:sz w:val="18"/>
      <w:szCs w:val="18"/>
    </w:rPr>
  </w:style>
  <w:style w:type="paragraph" w:styleId="TOC1">
    <w:name w:val="toc 1"/>
    <w:basedOn w:val="Normal"/>
    <w:next w:val="Normal"/>
    <w:autoRedefine/>
    <w:uiPriority w:val="39"/>
    <w:unhideWhenUsed/>
    <w:rsid w:val="004468FA"/>
    <w:pPr>
      <w:tabs>
        <w:tab w:val="left" w:pos="360"/>
        <w:tab w:val="right" w:leader="dot" w:pos="9350"/>
      </w:tabs>
      <w:spacing w:after="100"/>
    </w:pPr>
    <w:rPr>
      <w:noProof/>
    </w:rPr>
  </w:style>
  <w:style w:type="character" w:styleId="Hyperlink">
    <w:name w:val="Hyperlink"/>
    <w:basedOn w:val="DefaultParagraphFont"/>
    <w:uiPriority w:val="99"/>
    <w:unhideWhenUsed/>
    <w:rsid w:val="009B3736"/>
    <w:rPr>
      <w:color w:val="BE1E2D" w:themeColor="hyperlink"/>
      <w:sz w:val="24"/>
      <w:u w:val="single"/>
    </w:rPr>
  </w:style>
  <w:style w:type="paragraph" w:styleId="NoSpacing">
    <w:name w:val="No Spacing"/>
    <w:link w:val="NoSpacingChar"/>
    <w:uiPriority w:val="1"/>
    <w:qFormat/>
    <w:rsid w:val="00746712"/>
    <w:pPr>
      <w:spacing w:after="0" w:line="240" w:lineRule="auto"/>
    </w:pPr>
    <w:rPr>
      <w:rFonts w:eastAsiaTheme="minorEastAsia"/>
    </w:rPr>
  </w:style>
  <w:style w:type="character" w:customStyle="1" w:styleId="NoSpacingChar">
    <w:name w:val="No Spacing Char"/>
    <w:basedOn w:val="DefaultParagraphFont"/>
    <w:link w:val="NoSpacing"/>
    <w:uiPriority w:val="1"/>
    <w:rsid w:val="00746712"/>
    <w:rPr>
      <w:rFonts w:eastAsiaTheme="minorEastAsia"/>
    </w:rPr>
  </w:style>
  <w:style w:type="character" w:styleId="UnresolvedMention">
    <w:name w:val="Unresolved Mention"/>
    <w:basedOn w:val="DefaultParagraphFont"/>
    <w:uiPriority w:val="99"/>
    <w:semiHidden/>
    <w:unhideWhenUsed/>
    <w:rsid w:val="003A0755"/>
    <w:rPr>
      <w:color w:val="605E5C"/>
      <w:shd w:val="clear" w:color="auto" w:fill="E1DFDD"/>
    </w:rPr>
  </w:style>
  <w:style w:type="character" w:styleId="CommentReference">
    <w:name w:val="annotation reference"/>
    <w:basedOn w:val="DefaultParagraphFont"/>
    <w:uiPriority w:val="99"/>
    <w:semiHidden/>
    <w:unhideWhenUsed/>
    <w:rsid w:val="00207B2C"/>
    <w:rPr>
      <w:sz w:val="16"/>
      <w:szCs w:val="16"/>
    </w:rPr>
  </w:style>
  <w:style w:type="paragraph" w:styleId="CommentText">
    <w:name w:val="annotation text"/>
    <w:basedOn w:val="Normal"/>
    <w:link w:val="CommentTextChar"/>
    <w:uiPriority w:val="99"/>
    <w:semiHidden/>
    <w:unhideWhenUsed/>
    <w:rsid w:val="00207B2C"/>
    <w:pPr>
      <w:spacing w:line="240" w:lineRule="auto"/>
    </w:pPr>
    <w:rPr>
      <w:sz w:val="20"/>
      <w:szCs w:val="20"/>
    </w:rPr>
  </w:style>
  <w:style w:type="character" w:customStyle="1" w:styleId="CommentTextChar">
    <w:name w:val="Comment Text Char"/>
    <w:basedOn w:val="DefaultParagraphFont"/>
    <w:link w:val="CommentText"/>
    <w:uiPriority w:val="99"/>
    <w:semiHidden/>
    <w:rsid w:val="00207B2C"/>
    <w:rPr>
      <w:sz w:val="20"/>
      <w:szCs w:val="20"/>
    </w:rPr>
  </w:style>
  <w:style w:type="paragraph" w:styleId="CommentSubject">
    <w:name w:val="annotation subject"/>
    <w:basedOn w:val="CommentText"/>
    <w:next w:val="CommentText"/>
    <w:link w:val="CommentSubjectChar"/>
    <w:uiPriority w:val="99"/>
    <w:semiHidden/>
    <w:unhideWhenUsed/>
    <w:rsid w:val="00207B2C"/>
    <w:rPr>
      <w:b/>
      <w:bCs/>
    </w:rPr>
  </w:style>
  <w:style w:type="character" w:customStyle="1" w:styleId="CommentSubjectChar">
    <w:name w:val="Comment Subject Char"/>
    <w:basedOn w:val="CommentTextChar"/>
    <w:link w:val="CommentSubject"/>
    <w:uiPriority w:val="99"/>
    <w:semiHidden/>
    <w:rsid w:val="00207B2C"/>
    <w:rPr>
      <w:b/>
      <w:bCs/>
      <w:sz w:val="20"/>
      <w:szCs w:val="20"/>
    </w:rPr>
  </w:style>
  <w:style w:type="paragraph" w:styleId="Subtitle">
    <w:name w:val="Subtitle"/>
    <w:basedOn w:val="Heading1"/>
    <w:next w:val="Normal"/>
    <w:link w:val="SubtitleChar"/>
    <w:uiPriority w:val="11"/>
    <w:qFormat/>
    <w:rsid w:val="002177EF"/>
    <w:pPr>
      <w:numPr>
        <w:numId w:val="0"/>
      </w:numPr>
      <w:jc w:val="center"/>
    </w:pPr>
  </w:style>
  <w:style w:type="character" w:customStyle="1" w:styleId="SubtitleChar">
    <w:name w:val="Subtitle Char"/>
    <w:basedOn w:val="DefaultParagraphFont"/>
    <w:link w:val="Subtitle"/>
    <w:uiPriority w:val="11"/>
    <w:rsid w:val="002177EF"/>
    <w:rPr>
      <w:rFonts w:asciiTheme="majorHAnsi" w:eastAsiaTheme="majorEastAsia" w:hAnsiTheme="majorHAnsi" w:cstheme="majorBidi"/>
      <w:color w:val="BE1E2D" w:themeColor="text2"/>
      <w:sz w:val="46"/>
      <w:szCs w:val="32"/>
    </w:rPr>
  </w:style>
  <w:style w:type="character" w:styleId="SubtleEmphasis">
    <w:name w:val="Subtle Emphasis"/>
    <w:basedOn w:val="DefaultParagraphFont"/>
    <w:uiPriority w:val="19"/>
    <w:qFormat/>
    <w:rsid w:val="00222974"/>
    <w:rPr>
      <w:i/>
      <w:iCs/>
      <w:color w:val="404040" w:themeColor="text1" w:themeTint="BF"/>
    </w:rPr>
  </w:style>
  <w:style w:type="character" w:customStyle="1" w:styleId="Heading2Char">
    <w:name w:val="Heading 2 Char"/>
    <w:basedOn w:val="DefaultParagraphFont"/>
    <w:link w:val="Heading2"/>
    <w:uiPriority w:val="9"/>
    <w:rsid w:val="002177EF"/>
    <w:rPr>
      <w:rFonts w:asciiTheme="majorHAnsi" w:eastAsiaTheme="majorEastAsia" w:hAnsiTheme="majorHAnsi" w:cstheme="majorBidi"/>
      <w:sz w:val="34"/>
      <w:szCs w:val="26"/>
    </w:rPr>
  </w:style>
  <w:style w:type="character" w:customStyle="1" w:styleId="Heading3Char">
    <w:name w:val="Heading 3 Char"/>
    <w:basedOn w:val="DefaultParagraphFont"/>
    <w:link w:val="Heading3"/>
    <w:uiPriority w:val="9"/>
    <w:rsid w:val="00902997"/>
    <w:rPr>
      <w:rFonts w:asciiTheme="majorHAnsi" w:eastAsiaTheme="majorEastAsia" w:hAnsiTheme="majorHAnsi" w:cstheme="majorBidi"/>
      <w:b/>
      <w:color w:val="555A51" w:themeColor="background2" w:themeShade="80"/>
      <w:sz w:val="26"/>
      <w:szCs w:val="24"/>
    </w:rPr>
  </w:style>
  <w:style w:type="character" w:styleId="FollowedHyperlink">
    <w:name w:val="FollowedHyperlink"/>
    <w:basedOn w:val="DefaultParagraphFont"/>
    <w:uiPriority w:val="99"/>
    <w:semiHidden/>
    <w:unhideWhenUsed/>
    <w:rsid w:val="00E468AE"/>
    <w:rPr>
      <w:color w:val="555950" w:themeColor="followedHyperlink"/>
      <w:u w:val="single"/>
    </w:rPr>
  </w:style>
  <w:style w:type="paragraph" w:customStyle="1" w:styleId="Bullets">
    <w:name w:val="Bullets"/>
    <w:basedOn w:val="ListParagraph"/>
    <w:qFormat/>
    <w:rsid w:val="007A0DBE"/>
    <w:pPr>
      <w:numPr>
        <w:numId w:val="1"/>
      </w:numPr>
      <w:spacing w:before="80"/>
      <w:ind w:left="360"/>
      <w:contextualSpacing w:val="0"/>
    </w:pPr>
    <w:rPr>
      <w:rFonts w:cstheme="minorHAnsi"/>
    </w:rPr>
  </w:style>
  <w:style w:type="paragraph" w:customStyle="1" w:styleId="Bullets-2ndlevel">
    <w:name w:val="Bullets - 2nd level"/>
    <w:basedOn w:val="Bullets"/>
    <w:qFormat/>
    <w:rsid w:val="00555F72"/>
    <w:pPr>
      <w:numPr>
        <w:ilvl w:val="1"/>
      </w:numPr>
      <w:ind w:left="720"/>
    </w:pPr>
  </w:style>
  <w:style w:type="character" w:customStyle="1" w:styleId="Heading4Char">
    <w:name w:val="Heading 4 Char"/>
    <w:basedOn w:val="DefaultParagraphFont"/>
    <w:link w:val="Heading4"/>
    <w:uiPriority w:val="9"/>
    <w:rsid w:val="00995951"/>
    <w:rPr>
      <w:rFonts w:asciiTheme="majorHAnsi" w:eastAsiaTheme="majorEastAsia" w:hAnsiTheme="majorHAnsi" w:cstheme="majorBidi"/>
      <w:b/>
      <w:color w:val="555A51" w:themeColor="background2" w:themeShade="80"/>
    </w:rPr>
  </w:style>
  <w:style w:type="paragraph" w:styleId="TOC2">
    <w:name w:val="toc 2"/>
    <w:basedOn w:val="Normal"/>
    <w:next w:val="Normal"/>
    <w:autoRedefine/>
    <w:uiPriority w:val="39"/>
    <w:unhideWhenUsed/>
    <w:rsid w:val="004468FA"/>
    <w:pPr>
      <w:tabs>
        <w:tab w:val="left" w:pos="880"/>
        <w:tab w:val="right" w:leader="dot" w:pos="9350"/>
      </w:tabs>
      <w:spacing w:after="100"/>
      <w:ind w:left="900" w:hanging="540"/>
    </w:pPr>
  </w:style>
  <w:style w:type="paragraph" w:styleId="TOC3">
    <w:name w:val="toc 3"/>
    <w:basedOn w:val="Normal"/>
    <w:next w:val="Normal"/>
    <w:autoRedefine/>
    <w:uiPriority w:val="39"/>
    <w:unhideWhenUsed/>
    <w:rsid w:val="004468FA"/>
    <w:pPr>
      <w:tabs>
        <w:tab w:val="left" w:pos="1440"/>
        <w:tab w:val="right" w:leader="dot" w:pos="9350"/>
      </w:tabs>
      <w:spacing w:after="100"/>
      <w:ind w:left="1440" w:hanging="540"/>
    </w:pPr>
  </w:style>
  <w:style w:type="table" w:styleId="TableGrid">
    <w:name w:val="Table Grid"/>
    <w:basedOn w:val="TableNormal"/>
    <w:uiPriority w:val="39"/>
    <w:rsid w:val="00795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11757"/>
    <w:rPr>
      <w:rFonts w:asciiTheme="majorHAnsi" w:eastAsiaTheme="majorEastAsia" w:hAnsiTheme="majorHAnsi" w:cstheme="majorBidi"/>
      <w:color w:val="091D37" w:themeColor="accent1" w:themeShade="BF"/>
      <w:sz w:val="24"/>
      <w:szCs w:val="24"/>
      <w:lang w:val="en-CA"/>
    </w:rPr>
  </w:style>
  <w:style w:type="character" w:customStyle="1" w:styleId="Heading6Char">
    <w:name w:val="Heading 6 Char"/>
    <w:basedOn w:val="DefaultParagraphFont"/>
    <w:link w:val="Heading6"/>
    <w:uiPriority w:val="9"/>
    <w:rsid w:val="00611757"/>
    <w:rPr>
      <w:rFonts w:asciiTheme="majorHAnsi" w:eastAsiaTheme="majorEastAsia" w:hAnsiTheme="majorHAnsi" w:cstheme="majorBidi"/>
      <w:color w:val="061325" w:themeColor="accent1" w:themeShade="7F"/>
      <w:sz w:val="24"/>
      <w:szCs w:val="24"/>
      <w:lang w:val="en-CA"/>
    </w:rPr>
  </w:style>
  <w:style w:type="character" w:customStyle="1" w:styleId="Heading7Char">
    <w:name w:val="Heading 7 Char"/>
    <w:basedOn w:val="DefaultParagraphFont"/>
    <w:link w:val="Heading7"/>
    <w:uiPriority w:val="9"/>
    <w:semiHidden/>
    <w:rsid w:val="00611757"/>
    <w:rPr>
      <w:rFonts w:asciiTheme="majorHAnsi" w:eastAsiaTheme="majorEastAsia" w:hAnsiTheme="majorHAnsi" w:cstheme="majorBidi"/>
      <w:i/>
      <w:iCs/>
      <w:color w:val="061325" w:themeColor="accent1" w:themeShade="7F"/>
      <w:sz w:val="24"/>
      <w:szCs w:val="24"/>
      <w:lang w:val="en-CA"/>
    </w:rPr>
  </w:style>
  <w:style w:type="character" w:customStyle="1" w:styleId="Heading8Char">
    <w:name w:val="Heading 8 Char"/>
    <w:basedOn w:val="DefaultParagraphFont"/>
    <w:link w:val="Heading8"/>
    <w:uiPriority w:val="9"/>
    <w:semiHidden/>
    <w:rsid w:val="00611757"/>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basedOn w:val="DefaultParagraphFont"/>
    <w:link w:val="Heading9"/>
    <w:uiPriority w:val="9"/>
    <w:semiHidden/>
    <w:rsid w:val="00611757"/>
    <w:rPr>
      <w:rFonts w:asciiTheme="majorHAnsi" w:eastAsiaTheme="majorEastAsia" w:hAnsiTheme="majorHAnsi" w:cstheme="majorBidi"/>
      <w:i/>
      <w:iCs/>
      <w:color w:val="272727" w:themeColor="text1" w:themeTint="D8"/>
      <w:sz w:val="21"/>
      <w:szCs w:val="21"/>
      <w:lang w:val="en-CA"/>
    </w:rPr>
  </w:style>
  <w:style w:type="paragraph" w:styleId="NormalWeb">
    <w:name w:val="Normal (Web)"/>
    <w:basedOn w:val="Normal"/>
    <w:uiPriority w:val="99"/>
    <w:unhideWhenUsed/>
    <w:rsid w:val="00611757"/>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PageNumber">
    <w:name w:val="page number"/>
    <w:basedOn w:val="DefaultParagraphFont"/>
    <w:uiPriority w:val="99"/>
    <w:semiHidden/>
    <w:unhideWhenUsed/>
    <w:rsid w:val="00611757"/>
  </w:style>
  <w:style w:type="paragraph" w:styleId="FootnoteText">
    <w:name w:val="footnote text"/>
    <w:basedOn w:val="Normal"/>
    <w:link w:val="FootnoteTextChar"/>
    <w:uiPriority w:val="99"/>
    <w:semiHidden/>
    <w:unhideWhenUsed/>
    <w:rsid w:val="00611757"/>
    <w:pPr>
      <w:spacing w:before="0" w:line="240" w:lineRule="auto"/>
    </w:pPr>
    <w:rPr>
      <w:rFonts w:ascii="Times New Roman" w:eastAsia="Times New Roman" w:hAnsi="Times New Roman" w:cs="Times New Roman"/>
      <w:sz w:val="20"/>
      <w:szCs w:val="20"/>
      <w:lang w:val="en-CA"/>
    </w:rPr>
  </w:style>
  <w:style w:type="character" w:customStyle="1" w:styleId="FootnoteTextChar">
    <w:name w:val="Footnote Text Char"/>
    <w:basedOn w:val="DefaultParagraphFont"/>
    <w:link w:val="FootnoteText"/>
    <w:uiPriority w:val="99"/>
    <w:semiHidden/>
    <w:rsid w:val="00611757"/>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unhideWhenUsed/>
    <w:rsid w:val="00611757"/>
    <w:rPr>
      <w:vertAlign w:val="superscript"/>
    </w:rPr>
  </w:style>
  <w:style w:type="character" w:customStyle="1" w:styleId="apple-converted-space">
    <w:name w:val="apple-converted-space"/>
    <w:basedOn w:val="DefaultParagraphFont"/>
    <w:rsid w:val="00611757"/>
  </w:style>
  <w:style w:type="character" w:customStyle="1" w:styleId="CommentSubjectChar1">
    <w:name w:val="Comment Subject Char1"/>
    <w:basedOn w:val="CommentTextChar"/>
    <w:uiPriority w:val="99"/>
    <w:semiHidden/>
    <w:rsid w:val="00611757"/>
    <w:rPr>
      <w:rFonts w:ascii="Times New Roman" w:eastAsia="Times New Roman" w:hAnsi="Times New Roman" w:cs="Times New Roman"/>
      <w:b/>
      <w:bCs/>
      <w:sz w:val="20"/>
      <w:szCs w:val="20"/>
    </w:rPr>
  </w:style>
  <w:style w:type="character" w:styleId="Strong">
    <w:name w:val="Strong"/>
    <w:basedOn w:val="DefaultParagraphFont"/>
    <w:uiPriority w:val="22"/>
    <w:qFormat/>
    <w:rsid w:val="00611757"/>
    <w:rPr>
      <w:b/>
      <w:bCs/>
    </w:rPr>
  </w:style>
  <w:style w:type="character" w:customStyle="1" w:styleId="ListParagraphChar">
    <w:name w:val="List Paragraph Char"/>
    <w:aliases w:val="Bullet Point Char,Bullet point Char,Bullet points Char,CV text Char,Content descriptions Char,Dot pt Char,F5 List Paragraph Char,L Char,List Paragraph1 Char,List Paragraph11 Char,List Paragraph111 Char,Main Char,Recommendation Char"/>
    <w:basedOn w:val="DefaultParagraphFont"/>
    <w:link w:val="ListParagraph"/>
    <w:uiPriority w:val="34"/>
    <w:locked/>
    <w:rsid w:val="00611757"/>
  </w:style>
  <w:style w:type="numbering" w:customStyle="1" w:styleId="Style1">
    <w:name w:val="Style1"/>
    <w:uiPriority w:val="99"/>
    <w:rsid w:val="0006591B"/>
    <w:pPr>
      <w:numPr>
        <w:numId w:val="4"/>
      </w:numPr>
    </w:pPr>
  </w:style>
  <w:style w:type="paragraph" w:customStyle="1" w:styleId="Footnote1">
    <w:name w:val="Footnote1"/>
    <w:basedOn w:val="FootnoteText"/>
    <w:qFormat/>
    <w:rsid w:val="00C367CC"/>
    <w:pPr>
      <w:ind w:left="180" w:hanging="18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195588">
      <w:bodyDiv w:val="1"/>
      <w:marLeft w:val="0"/>
      <w:marRight w:val="0"/>
      <w:marTop w:val="0"/>
      <w:marBottom w:val="0"/>
      <w:divBdr>
        <w:top w:val="none" w:sz="0" w:space="0" w:color="auto"/>
        <w:left w:val="none" w:sz="0" w:space="0" w:color="auto"/>
        <w:bottom w:val="none" w:sz="0" w:space="0" w:color="auto"/>
        <w:right w:val="none" w:sz="0" w:space="0" w:color="auto"/>
      </w:divBdr>
    </w:div>
    <w:div w:id="1452818928">
      <w:bodyDiv w:val="1"/>
      <w:marLeft w:val="0"/>
      <w:marRight w:val="0"/>
      <w:marTop w:val="0"/>
      <w:marBottom w:val="0"/>
      <w:divBdr>
        <w:top w:val="none" w:sz="0" w:space="0" w:color="auto"/>
        <w:left w:val="none" w:sz="0" w:space="0" w:color="auto"/>
        <w:bottom w:val="none" w:sz="0" w:space="0" w:color="auto"/>
        <w:right w:val="none" w:sz="0" w:space="0" w:color="auto"/>
      </w:divBdr>
    </w:div>
    <w:div w:id="1501503018">
      <w:bodyDiv w:val="1"/>
      <w:marLeft w:val="0"/>
      <w:marRight w:val="0"/>
      <w:marTop w:val="0"/>
      <w:marBottom w:val="0"/>
      <w:divBdr>
        <w:top w:val="none" w:sz="0" w:space="0" w:color="auto"/>
        <w:left w:val="none" w:sz="0" w:space="0" w:color="auto"/>
        <w:bottom w:val="none" w:sz="0" w:space="0" w:color="auto"/>
        <w:right w:val="none" w:sz="0" w:space="0" w:color="auto"/>
      </w:divBdr>
      <w:divsChild>
        <w:div w:id="1566721028">
          <w:marLeft w:val="0"/>
          <w:marRight w:val="0"/>
          <w:marTop w:val="0"/>
          <w:marBottom w:val="0"/>
          <w:divBdr>
            <w:top w:val="none" w:sz="0" w:space="0" w:color="auto"/>
            <w:left w:val="none" w:sz="0" w:space="0" w:color="auto"/>
            <w:bottom w:val="none" w:sz="0" w:space="0" w:color="auto"/>
            <w:right w:val="none" w:sz="0" w:space="0" w:color="auto"/>
          </w:divBdr>
        </w:div>
      </w:divsChild>
    </w:div>
    <w:div w:id="1899122295">
      <w:bodyDiv w:val="1"/>
      <w:marLeft w:val="0"/>
      <w:marRight w:val="0"/>
      <w:marTop w:val="0"/>
      <w:marBottom w:val="0"/>
      <w:divBdr>
        <w:top w:val="none" w:sz="0" w:space="0" w:color="auto"/>
        <w:left w:val="none" w:sz="0" w:space="0" w:color="auto"/>
        <w:bottom w:val="none" w:sz="0" w:space="0" w:color="auto"/>
        <w:right w:val="none" w:sz="0" w:space="0" w:color="auto"/>
      </w:divBdr>
      <w:divsChild>
        <w:div w:id="776830804">
          <w:marLeft w:val="0"/>
          <w:marRight w:val="0"/>
          <w:marTop w:val="0"/>
          <w:marBottom w:val="0"/>
          <w:divBdr>
            <w:top w:val="none" w:sz="0" w:space="0" w:color="auto"/>
            <w:left w:val="none" w:sz="0" w:space="0" w:color="auto"/>
            <w:bottom w:val="none" w:sz="0" w:space="0" w:color="auto"/>
            <w:right w:val="none" w:sz="0" w:space="0" w:color="auto"/>
          </w:divBdr>
        </w:div>
      </w:divsChild>
    </w:div>
    <w:div w:id="2070493559">
      <w:bodyDiv w:val="1"/>
      <w:marLeft w:val="0"/>
      <w:marRight w:val="0"/>
      <w:marTop w:val="0"/>
      <w:marBottom w:val="0"/>
      <w:divBdr>
        <w:top w:val="none" w:sz="0" w:space="0" w:color="auto"/>
        <w:left w:val="none" w:sz="0" w:space="0" w:color="auto"/>
        <w:bottom w:val="none" w:sz="0" w:space="0" w:color="auto"/>
        <w:right w:val="none" w:sz="0" w:space="0" w:color="auto"/>
      </w:divBdr>
      <w:divsChild>
        <w:div w:id="914433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youtube.com/watch?v=lPufXsHkvo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nh3.ca/wp-content/uploads/CAEH-COVID-19-PPE.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AEH">
      <a:dk1>
        <a:srgbClr val="000000"/>
      </a:dk1>
      <a:lt1>
        <a:srgbClr val="FFFFFF"/>
      </a:lt1>
      <a:dk2>
        <a:srgbClr val="BE1E2D"/>
      </a:dk2>
      <a:lt2>
        <a:srgbClr val="ABAFA6"/>
      </a:lt2>
      <a:accent1>
        <a:srgbClr val="0D284B"/>
      </a:accent1>
      <a:accent2>
        <a:srgbClr val="B2D235"/>
      </a:accent2>
      <a:accent3>
        <a:srgbClr val="881B55"/>
      </a:accent3>
      <a:accent4>
        <a:srgbClr val="2FB5C5"/>
      </a:accent4>
      <a:accent5>
        <a:srgbClr val="84C441"/>
      </a:accent5>
      <a:accent6>
        <a:srgbClr val="D78428"/>
      </a:accent6>
      <a:hlink>
        <a:srgbClr val="BE1E2D"/>
      </a:hlink>
      <a:folHlink>
        <a:srgbClr val="55595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DB37D27389348844CB027E8124558" ma:contentTypeVersion="13" ma:contentTypeDescription="Create a new document." ma:contentTypeScope="" ma:versionID="a6089b310f303a4b6f266de3a4052877">
  <xsd:schema xmlns:xsd="http://www.w3.org/2001/XMLSchema" xmlns:xs="http://www.w3.org/2001/XMLSchema" xmlns:p="http://schemas.microsoft.com/office/2006/metadata/properties" xmlns:ns2="dafbecd6-5b90-4e30-a018-27bbbca06165" xmlns:ns3="4ebe5f28-4db5-4aba-81dd-ff20caa6c2c5" targetNamespace="http://schemas.microsoft.com/office/2006/metadata/properties" ma:root="true" ma:fieldsID="c2b2826694ed389e11f280738be10755" ns2:_="" ns3:_="">
    <xsd:import namespace="dafbecd6-5b90-4e30-a018-27bbbca06165"/>
    <xsd:import namespace="4ebe5f28-4db5-4aba-81dd-ff20caa6c2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Link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becd6-5b90-4e30-a018-27bbbca061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be5f28-4db5-4aba-81dd-ff20caa6c2c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inks" ma:index="18"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s xmlns="4ebe5f28-4db5-4aba-81dd-ff20caa6c2c5">
      <Url xsi:nil="true"/>
      <Description xsi:nil="true"/>
    </Link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18F8F-ED17-4E97-99C4-8D5E096F5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becd6-5b90-4e30-a018-27bbbca06165"/>
    <ds:schemaRef ds:uri="4ebe5f28-4db5-4aba-81dd-ff20caa6c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E155B-7932-477A-897B-51B63571FB00}">
  <ds:schemaRefs>
    <ds:schemaRef ds:uri="http://schemas.microsoft.com/sharepoint/v3/contenttype/forms"/>
  </ds:schemaRefs>
</ds:datastoreItem>
</file>

<file path=customXml/itemProps3.xml><?xml version="1.0" encoding="utf-8"?>
<ds:datastoreItem xmlns:ds="http://schemas.openxmlformats.org/officeDocument/2006/customXml" ds:itemID="{1522717F-CE47-4B46-A009-570CDEAF626F}">
  <ds:schemaRefs>
    <ds:schemaRef ds:uri="http://schemas.microsoft.com/office/2006/metadata/properties"/>
    <ds:schemaRef ds:uri="http://schemas.microsoft.com/office/infopath/2007/PartnerControls"/>
    <ds:schemaRef ds:uri="4ebe5f28-4db5-4aba-81dd-ff20caa6c2c5"/>
  </ds:schemaRefs>
</ds:datastoreItem>
</file>

<file path=customXml/itemProps4.xml><?xml version="1.0" encoding="utf-8"?>
<ds:datastoreItem xmlns:ds="http://schemas.openxmlformats.org/officeDocument/2006/customXml" ds:itemID="{5398CEAA-5937-4D27-9025-40C5F676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2326</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Style Guide</vt:lpstr>
    </vt:vector>
  </TitlesOfParts>
  <Company>Last updated: January 2020</Company>
  <LinksUpToDate>false</LinksUpToDate>
  <CharactersWithSpaces>15554</CharactersWithSpaces>
  <SharedDoc>false</SharedDoc>
  <HLinks>
    <vt:vector size="690" baseType="variant">
      <vt:variant>
        <vt:i4>5963857</vt:i4>
      </vt:variant>
      <vt:variant>
        <vt:i4>537</vt:i4>
      </vt:variant>
      <vt:variant>
        <vt:i4>0</vt:i4>
      </vt:variant>
      <vt:variant>
        <vt:i4>5</vt:i4>
      </vt:variant>
      <vt:variant>
        <vt:lpwstr>https://cfc-swc.gc.ca/fun-fin/shelters-refuges-en.html?utm_source=canada-covid-fin&amp;utm_medium=links&amp;utm_content=covid-1920&amp;utm_campaign=wage-en</vt:lpwstr>
      </vt:variant>
      <vt:variant>
        <vt:lpwstr/>
      </vt:variant>
      <vt:variant>
        <vt:i4>1769540</vt:i4>
      </vt:variant>
      <vt:variant>
        <vt:i4>534</vt:i4>
      </vt:variant>
      <vt:variant>
        <vt:i4>0</vt:i4>
      </vt:variant>
      <vt:variant>
        <vt:i4>5</vt:i4>
      </vt:variant>
      <vt:variant>
        <vt:lpwstr>https://www.sac-isc.gc.ca/eng/1585189335380/1585189357198</vt:lpwstr>
      </vt:variant>
      <vt:variant>
        <vt:lpwstr/>
      </vt:variant>
      <vt:variant>
        <vt:i4>6619261</vt:i4>
      </vt:variant>
      <vt:variant>
        <vt:i4>531</vt:i4>
      </vt:variant>
      <vt:variant>
        <vt:i4>0</vt:i4>
      </vt:variant>
      <vt:variant>
        <vt:i4>5</vt:i4>
      </vt:variant>
      <vt:variant>
        <vt:lpwstr>https://www.communityfoundations.ca/initiatives/responding-to-covid-19/</vt:lpwstr>
      </vt:variant>
      <vt:variant>
        <vt:lpwstr/>
      </vt:variant>
      <vt:variant>
        <vt:i4>1966104</vt:i4>
      </vt:variant>
      <vt:variant>
        <vt:i4>528</vt:i4>
      </vt:variant>
      <vt:variant>
        <vt:i4>0</vt:i4>
      </vt:variant>
      <vt:variant>
        <vt:i4>5</vt:i4>
      </vt:variant>
      <vt:variant>
        <vt:lpwstr>https://www.redcross.ca/</vt:lpwstr>
      </vt:variant>
      <vt:variant>
        <vt:lpwstr/>
      </vt:variant>
      <vt:variant>
        <vt:i4>4915222</vt:i4>
      </vt:variant>
      <vt:variant>
        <vt:i4>525</vt:i4>
      </vt:variant>
      <vt:variant>
        <vt:i4>0</vt:i4>
      </vt:variant>
      <vt:variant>
        <vt:i4>5</vt:i4>
      </vt:variant>
      <vt:variant>
        <vt:lpwstr>http://www.unitedway.ca/updates/</vt:lpwstr>
      </vt:variant>
      <vt:variant>
        <vt:lpwstr/>
      </vt:variant>
      <vt:variant>
        <vt:i4>917585</vt:i4>
      </vt:variant>
      <vt:variant>
        <vt:i4>522</vt:i4>
      </vt:variant>
      <vt:variant>
        <vt:i4>0</vt:i4>
      </vt:variant>
      <vt:variant>
        <vt:i4>5</vt:i4>
      </vt:variant>
      <vt:variant>
        <vt:lpwstr>https://www.canada.ca/en/services/benefits/emergency-community-support-fund.html</vt:lpwstr>
      </vt:variant>
      <vt:variant>
        <vt:lpwstr/>
      </vt:variant>
      <vt:variant>
        <vt:i4>538771503</vt:i4>
      </vt:variant>
      <vt:variant>
        <vt:i4>519</vt:i4>
      </vt:variant>
      <vt:variant>
        <vt:i4>0</vt:i4>
      </vt:variant>
      <vt:variant>
        <vt:i4>5</vt:i4>
      </vt:variant>
      <vt:variant>
        <vt:lpwstr>\\how-we-help\current-emergency-responses\covid-19-–-novel-coronavirus\information-for-community-organizations-affected-by-covid-19\preventing-disease-transmission-training-and-equipment-program</vt:lpwstr>
      </vt:variant>
      <vt:variant>
        <vt:lpwstr/>
      </vt:variant>
      <vt:variant>
        <vt:i4>539426883</vt:i4>
      </vt:variant>
      <vt:variant>
        <vt:i4>516</vt:i4>
      </vt:variant>
      <vt:variant>
        <vt:i4>0</vt:i4>
      </vt:variant>
      <vt:variant>
        <vt:i4>5</vt:i4>
      </vt:variant>
      <vt:variant>
        <vt:lpwstr>\\how-we-help\current-emergency-responses\covid-19-–-novel-coronavirus\information-for-community-organizations-affected-by-covid-19\granting-program</vt:lpwstr>
      </vt:variant>
      <vt:variant>
        <vt:lpwstr/>
      </vt:variant>
      <vt:variant>
        <vt:i4>540475456</vt:i4>
      </vt:variant>
      <vt:variant>
        <vt:i4>513</vt:i4>
      </vt:variant>
      <vt:variant>
        <vt:i4>0</vt:i4>
      </vt:variant>
      <vt:variant>
        <vt:i4>5</vt:i4>
      </vt:variant>
      <vt:variant>
        <vt:lpwstr>https://www.redcross.ca/how-we-help/current-emergency-responses/covid-19-–-novel-coronavirus</vt:lpwstr>
      </vt:variant>
      <vt:variant>
        <vt:lpwstr>EmergencySupportforCommunityOrganizations</vt:lpwstr>
      </vt:variant>
      <vt:variant>
        <vt:i4>4194317</vt:i4>
      </vt:variant>
      <vt:variant>
        <vt:i4>510</vt:i4>
      </vt:variant>
      <vt:variant>
        <vt:i4>0</vt:i4>
      </vt:variant>
      <vt:variant>
        <vt:i4>5</vt:i4>
      </vt:variant>
      <vt:variant>
        <vt:lpwstr>https://www.canada.ca/en/employment-social-development/programs/homelessness/directives.html</vt:lpwstr>
      </vt:variant>
      <vt:variant>
        <vt:lpwstr/>
      </vt:variant>
      <vt:variant>
        <vt:i4>655360</vt:i4>
      </vt:variant>
      <vt:variant>
        <vt:i4>507</vt:i4>
      </vt:variant>
      <vt:variant>
        <vt:i4>0</vt:i4>
      </vt:variant>
      <vt:variant>
        <vt:i4>5</vt:i4>
      </vt:variant>
      <vt:variant>
        <vt:lpwstr>https://www.canada.ca/en/employment-social-development/programs/homelessness.html</vt:lpwstr>
      </vt:variant>
      <vt:variant>
        <vt:lpwstr/>
      </vt:variant>
      <vt:variant>
        <vt:i4>1441860</vt:i4>
      </vt:variant>
      <vt:variant>
        <vt:i4>504</vt:i4>
      </vt:variant>
      <vt:variant>
        <vt:i4>0</vt:i4>
      </vt:variant>
      <vt:variant>
        <vt:i4>5</vt:i4>
      </vt:variant>
      <vt:variant>
        <vt:lpwstr>https://pm.gc.ca/en/news/news-releases/2020/04/03/prime-minister-announces-support-food-banks-and-local-food</vt:lpwstr>
      </vt:variant>
      <vt:variant>
        <vt:lpwstr/>
      </vt:variant>
      <vt:variant>
        <vt:i4>5505117</vt:i4>
      </vt:variant>
      <vt:variant>
        <vt:i4>501</vt:i4>
      </vt:variant>
      <vt:variant>
        <vt:i4>0</vt:i4>
      </vt:variant>
      <vt:variant>
        <vt:i4>5</vt:i4>
      </vt:variant>
      <vt:variant>
        <vt:lpwstr>http://cnh3.ca/wp-content/uploads/CAEH-COVID-19-Meaningful-Activities-that-Respect-Social-Distancing.pdf</vt:lpwstr>
      </vt:variant>
      <vt:variant>
        <vt:lpwstr/>
      </vt:variant>
      <vt:variant>
        <vt:i4>3473466</vt:i4>
      </vt:variant>
      <vt:variant>
        <vt:i4>498</vt:i4>
      </vt:variant>
      <vt:variant>
        <vt:i4>0</vt:i4>
      </vt:variant>
      <vt:variant>
        <vt:i4>5</vt:i4>
      </vt:variant>
      <vt:variant>
        <vt:lpwstr>http://cnh3.ca/wp-content/uploads/CAEH-COVID-19-Requesting-Help-Local-PHAs.pdf</vt:lpwstr>
      </vt:variant>
      <vt:variant>
        <vt:lpwstr/>
      </vt:variant>
      <vt:variant>
        <vt:i4>7733311</vt:i4>
      </vt:variant>
      <vt:variant>
        <vt:i4>495</vt:i4>
      </vt:variant>
      <vt:variant>
        <vt:i4>0</vt:i4>
      </vt:variant>
      <vt:variant>
        <vt:i4>5</vt:i4>
      </vt:variant>
      <vt:variant>
        <vt:lpwstr>https://bfzcanada.ca/by-name-lists/</vt:lpwstr>
      </vt:variant>
      <vt:variant>
        <vt:lpwstr/>
      </vt:variant>
      <vt:variant>
        <vt:i4>4587600</vt:i4>
      </vt:variant>
      <vt:variant>
        <vt:i4>492</vt:i4>
      </vt:variant>
      <vt:variant>
        <vt:i4>0</vt:i4>
      </vt:variant>
      <vt:variant>
        <vt:i4>5</vt:i4>
      </vt:variant>
      <vt:variant>
        <vt:lpwstr>https://www.homelessnesslearninghub.ca/search?search=HIFIS%20how%20to</vt:lpwstr>
      </vt:variant>
      <vt:variant>
        <vt:lpwstr/>
      </vt:variant>
      <vt:variant>
        <vt:i4>6881389</vt:i4>
      </vt:variant>
      <vt:variant>
        <vt:i4>489</vt:i4>
      </vt:variant>
      <vt:variant>
        <vt:i4>0</vt:i4>
      </vt:variant>
      <vt:variant>
        <vt:i4>5</vt:i4>
      </vt:variant>
      <vt:variant>
        <vt:lpwstr>http://cnh3.ca/wp-content/uploads/CAEH-Getting-Back-to-Housing.pdf</vt:lpwstr>
      </vt:variant>
      <vt:variant>
        <vt:lpwstr/>
      </vt:variant>
      <vt:variant>
        <vt:i4>4980762</vt:i4>
      </vt:variant>
      <vt:variant>
        <vt:i4>486</vt:i4>
      </vt:variant>
      <vt:variant>
        <vt:i4>0</vt:i4>
      </vt:variant>
      <vt:variant>
        <vt:i4>5</vt:i4>
      </vt:variant>
      <vt:variant>
        <vt:lpwstr>https://bfzcanada.ca/wp-content/uploads/Coordinate-Outreach-Coverage-Key-Considerations-and-Examples.pdf</vt:lpwstr>
      </vt:variant>
      <vt:variant>
        <vt:lpwstr/>
      </vt:variant>
      <vt:variant>
        <vt:i4>720901</vt:i4>
      </vt:variant>
      <vt:variant>
        <vt:i4>483</vt:i4>
      </vt:variant>
      <vt:variant>
        <vt:i4>0</vt:i4>
      </vt:variant>
      <vt:variant>
        <vt:i4>5</vt:i4>
      </vt:variant>
      <vt:variant>
        <vt:lpwstr>http://cnh3.ca/resources/</vt:lpwstr>
      </vt:variant>
      <vt:variant>
        <vt:lpwstr/>
      </vt:variant>
      <vt:variant>
        <vt:i4>2162793</vt:i4>
      </vt:variant>
      <vt:variant>
        <vt:i4>480</vt:i4>
      </vt:variant>
      <vt:variant>
        <vt:i4>0</vt:i4>
      </vt:variant>
      <vt:variant>
        <vt:i4>5</vt:i4>
      </vt:variant>
      <vt:variant>
        <vt:lpwstr>https://caeh.ca/wp-content/uploads/CAEH-Getting-Back-to-Housing.pdf</vt:lpwstr>
      </vt:variant>
      <vt:variant>
        <vt:lpwstr/>
      </vt:variant>
      <vt:variant>
        <vt:i4>327744</vt:i4>
      </vt:variant>
      <vt:variant>
        <vt:i4>477</vt:i4>
      </vt:variant>
      <vt:variant>
        <vt:i4>0</vt:i4>
      </vt:variant>
      <vt:variant>
        <vt:i4>5</vt:i4>
      </vt:variant>
      <vt:variant>
        <vt:lpwstr>http://transformshelter.ca/resources/</vt:lpwstr>
      </vt:variant>
      <vt:variant>
        <vt:lpwstr/>
      </vt:variant>
      <vt:variant>
        <vt:i4>3145846</vt:i4>
      </vt:variant>
      <vt:variant>
        <vt:i4>474</vt:i4>
      </vt:variant>
      <vt:variant>
        <vt:i4>0</vt:i4>
      </vt:variant>
      <vt:variant>
        <vt:i4>5</vt:i4>
      </vt:variant>
      <vt:variant>
        <vt:lpwstr>https://www.co-shelteringcollaborative.org/covid-19-guidelines</vt:lpwstr>
      </vt:variant>
      <vt:variant>
        <vt:lpwstr/>
      </vt:variant>
      <vt:variant>
        <vt:i4>720901</vt:i4>
      </vt:variant>
      <vt:variant>
        <vt:i4>471</vt:i4>
      </vt:variant>
      <vt:variant>
        <vt:i4>0</vt:i4>
      </vt:variant>
      <vt:variant>
        <vt:i4>5</vt:i4>
      </vt:variant>
      <vt:variant>
        <vt:lpwstr>http://cnh3.ca/resources/</vt:lpwstr>
      </vt:variant>
      <vt:variant>
        <vt:lpwstr/>
      </vt:variant>
      <vt:variant>
        <vt:i4>4063280</vt:i4>
      </vt:variant>
      <vt:variant>
        <vt:i4>468</vt:i4>
      </vt:variant>
      <vt:variant>
        <vt:i4>0</vt:i4>
      </vt:variant>
      <vt:variant>
        <vt:i4>5</vt:i4>
      </vt:variant>
      <vt:variant>
        <vt:lpwstr>https://www.youtube.com/watch?v=lPufXsHkvow</vt:lpwstr>
      </vt:variant>
      <vt:variant>
        <vt:lpwstr/>
      </vt:variant>
      <vt:variant>
        <vt:i4>6619171</vt:i4>
      </vt:variant>
      <vt:variant>
        <vt:i4>465</vt:i4>
      </vt:variant>
      <vt:variant>
        <vt:i4>0</vt:i4>
      </vt:variant>
      <vt:variant>
        <vt:i4>5</vt:i4>
      </vt:variant>
      <vt:variant>
        <vt:lpwstr>http://cnh3.ca/wp-content/uploads/CAEH-COVID-19-PPE.pdf</vt:lpwstr>
      </vt:variant>
      <vt:variant>
        <vt:lpwstr/>
      </vt:variant>
      <vt:variant>
        <vt:i4>3342394</vt:i4>
      </vt:variant>
      <vt:variant>
        <vt:i4>462</vt:i4>
      </vt:variant>
      <vt:variant>
        <vt:i4>0</vt:i4>
      </vt:variant>
      <vt:variant>
        <vt:i4>5</vt:i4>
      </vt:variant>
      <vt:variant>
        <vt:lpwstr>https://www.canada.ca/en/department-finance/economic-response-plan.html</vt:lpwstr>
      </vt:variant>
      <vt:variant>
        <vt:lpwstr/>
      </vt:variant>
      <vt:variant>
        <vt:i4>4325441</vt:i4>
      </vt:variant>
      <vt:variant>
        <vt:i4>459</vt:i4>
      </vt:variant>
      <vt:variant>
        <vt:i4>0</vt:i4>
      </vt:variant>
      <vt:variant>
        <vt:i4>5</vt:i4>
      </vt:variant>
      <vt:variant>
        <vt:lpwstr>http://cnh3.ca/wp-content/uploads/CAEH-COVID-19-Making-Strategic-Investment-Decisions.pdf</vt:lpwstr>
      </vt:variant>
      <vt:variant>
        <vt:lpwstr/>
      </vt:variant>
      <vt:variant>
        <vt:i4>458752</vt:i4>
      </vt:variant>
      <vt:variant>
        <vt:i4>456</vt:i4>
      </vt:variant>
      <vt:variant>
        <vt:i4>0</vt:i4>
      </vt:variant>
      <vt:variant>
        <vt:i4>5</vt:i4>
      </vt:variant>
      <vt:variant>
        <vt:lpwstr>http://cnh3.ca/wp-content/uploads/CAEH-COVID-19-Self-Care.pdf</vt:lpwstr>
      </vt:variant>
      <vt:variant>
        <vt:lpwstr/>
      </vt:variant>
      <vt:variant>
        <vt:i4>720901</vt:i4>
      </vt:variant>
      <vt:variant>
        <vt:i4>453</vt:i4>
      </vt:variant>
      <vt:variant>
        <vt:i4>0</vt:i4>
      </vt:variant>
      <vt:variant>
        <vt:i4>5</vt:i4>
      </vt:variant>
      <vt:variant>
        <vt:lpwstr>http://cnh3.ca/resources/</vt:lpwstr>
      </vt:variant>
      <vt:variant>
        <vt:lpwstr/>
      </vt:variant>
      <vt:variant>
        <vt:i4>6881389</vt:i4>
      </vt:variant>
      <vt:variant>
        <vt:i4>450</vt:i4>
      </vt:variant>
      <vt:variant>
        <vt:i4>0</vt:i4>
      </vt:variant>
      <vt:variant>
        <vt:i4>5</vt:i4>
      </vt:variant>
      <vt:variant>
        <vt:lpwstr>http://cnh3.ca/wp-content/uploads/CAEH-Getting-Back-to-Housing.pdf</vt:lpwstr>
      </vt:variant>
      <vt:variant>
        <vt:lpwstr/>
      </vt:variant>
      <vt:variant>
        <vt:i4>6684771</vt:i4>
      </vt:variant>
      <vt:variant>
        <vt:i4>447</vt:i4>
      </vt:variant>
      <vt:variant>
        <vt:i4>0</vt:i4>
      </vt:variant>
      <vt:variant>
        <vt:i4>5</vt:i4>
      </vt:variant>
      <vt:variant>
        <vt:lpwstr>http://cnh3.ca/wp-content/uploads/CAEH-COVID-19-Preventing-Eviction.pdf</vt:lpwstr>
      </vt:variant>
      <vt:variant>
        <vt:lpwstr/>
      </vt:variant>
      <vt:variant>
        <vt:i4>5374046</vt:i4>
      </vt:variant>
      <vt:variant>
        <vt:i4>444</vt:i4>
      </vt:variant>
      <vt:variant>
        <vt:i4>0</vt:i4>
      </vt:variant>
      <vt:variant>
        <vt:i4>5</vt:i4>
      </vt:variant>
      <vt:variant>
        <vt:lpwstr>https://drive.google.com/file/d/0B636wu3MO2lIM2xUZ25JTGV4em8/view</vt:lpwstr>
      </vt:variant>
      <vt:variant>
        <vt:lpwstr/>
      </vt:variant>
      <vt:variant>
        <vt:i4>1769474</vt:i4>
      </vt:variant>
      <vt:variant>
        <vt:i4>441</vt:i4>
      </vt:variant>
      <vt:variant>
        <vt:i4>0</vt:i4>
      </vt:variant>
      <vt:variant>
        <vt:i4>5</vt:i4>
      </vt:variant>
      <vt:variant>
        <vt:lpwstr>https://www.homelesshub.ca/solutions/housing-accommodation-and-supports/housing-first</vt:lpwstr>
      </vt:variant>
      <vt:variant>
        <vt:lpwstr/>
      </vt:variant>
      <vt:variant>
        <vt:i4>917574</vt:i4>
      </vt:variant>
      <vt:variant>
        <vt:i4>438</vt:i4>
      </vt:variant>
      <vt:variant>
        <vt:i4>0</vt:i4>
      </vt:variant>
      <vt:variant>
        <vt:i4>5</vt:i4>
      </vt:variant>
      <vt:variant>
        <vt:lpwstr>https://www.homelesshub.ca/about-homelessness/homelessness-101/cost-analysis-homelessness</vt:lpwstr>
      </vt:variant>
      <vt:variant>
        <vt:lpwstr/>
      </vt:variant>
      <vt:variant>
        <vt:i4>4325441</vt:i4>
      </vt:variant>
      <vt:variant>
        <vt:i4>435</vt:i4>
      </vt:variant>
      <vt:variant>
        <vt:i4>0</vt:i4>
      </vt:variant>
      <vt:variant>
        <vt:i4>5</vt:i4>
      </vt:variant>
      <vt:variant>
        <vt:lpwstr>http://cnh3.ca/wp-content/uploads/CAEH-COVID-19-Making-Strategic-Investment-Decisions.pdf</vt:lpwstr>
      </vt:variant>
      <vt:variant>
        <vt:lpwstr/>
      </vt:variant>
      <vt:variant>
        <vt:i4>65622</vt:i4>
      </vt:variant>
      <vt:variant>
        <vt:i4>432</vt:i4>
      </vt:variant>
      <vt:variant>
        <vt:i4>0</vt:i4>
      </vt:variant>
      <vt:variant>
        <vt:i4>5</vt:i4>
      </vt:variant>
      <vt:variant>
        <vt:lpwstr>https://docs.google.com/document/d/1amUYdDQ38AiSia6EDFtVLeyPadmXkV3STKDaUSzHVeM/edit</vt:lpwstr>
      </vt:variant>
      <vt:variant>
        <vt:lpwstr>bookmark=id.gu56nfnfp8gh</vt:lpwstr>
      </vt:variant>
      <vt:variant>
        <vt:i4>131154</vt:i4>
      </vt:variant>
      <vt:variant>
        <vt:i4>429</vt:i4>
      </vt:variant>
      <vt:variant>
        <vt:i4>0</vt:i4>
      </vt:variant>
      <vt:variant>
        <vt:i4>5</vt:i4>
      </vt:variant>
      <vt:variant>
        <vt:lpwstr>https://bfzcanada.ca/peers-and-lived-experience/</vt:lpwstr>
      </vt:variant>
      <vt:variant>
        <vt:lpwstr/>
      </vt:variant>
      <vt:variant>
        <vt:i4>8257583</vt:i4>
      </vt:variant>
      <vt:variant>
        <vt:i4>426</vt:i4>
      </vt:variant>
      <vt:variant>
        <vt:i4>0</vt:i4>
      </vt:variant>
      <vt:variant>
        <vt:i4>5</vt:i4>
      </vt:variant>
      <vt:variant>
        <vt:lpwstr>https://www.homelesshub.ca/toolkit/strength-based-approach</vt:lpwstr>
      </vt:variant>
      <vt:variant>
        <vt:lpwstr/>
      </vt:variant>
      <vt:variant>
        <vt:i4>3866729</vt:i4>
      </vt:variant>
      <vt:variant>
        <vt:i4>423</vt:i4>
      </vt:variant>
      <vt:variant>
        <vt:i4>0</vt:i4>
      </vt:variant>
      <vt:variant>
        <vt:i4>5</vt:i4>
      </vt:variant>
      <vt:variant>
        <vt:lpwstr>https://www.homelessnesslearninghub.ca/courses/trauma-informed-care</vt:lpwstr>
      </vt:variant>
      <vt:variant>
        <vt:lpwstr/>
      </vt:variant>
      <vt:variant>
        <vt:i4>720901</vt:i4>
      </vt:variant>
      <vt:variant>
        <vt:i4>420</vt:i4>
      </vt:variant>
      <vt:variant>
        <vt:i4>0</vt:i4>
      </vt:variant>
      <vt:variant>
        <vt:i4>5</vt:i4>
      </vt:variant>
      <vt:variant>
        <vt:lpwstr>http://cnh3.ca/resources/</vt:lpwstr>
      </vt:variant>
      <vt:variant>
        <vt:lpwstr/>
      </vt:variant>
      <vt:variant>
        <vt:i4>6291488</vt:i4>
      </vt:variant>
      <vt:variant>
        <vt:i4>417</vt:i4>
      </vt:variant>
      <vt:variant>
        <vt:i4>0</vt:i4>
      </vt:variant>
      <vt:variant>
        <vt:i4>5</vt:i4>
      </vt:variant>
      <vt:variant>
        <vt:lpwstr>https://caeh.ca/caeh-launches-recovery-for-all/</vt:lpwstr>
      </vt:variant>
      <vt:variant>
        <vt:lpwstr/>
      </vt:variant>
      <vt:variant>
        <vt:i4>1638449</vt:i4>
      </vt:variant>
      <vt:variant>
        <vt:i4>410</vt:i4>
      </vt:variant>
      <vt:variant>
        <vt:i4>0</vt:i4>
      </vt:variant>
      <vt:variant>
        <vt:i4>5</vt:i4>
      </vt:variant>
      <vt:variant>
        <vt:lpwstr/>
      </vt:variant>
      <vt:variant>
        <vt:lpwstr>_Toc42086531</vt:lpwstr>
      </vt:variant>
      <vt:variant>
        <vt:i4>1572913</vt:i4>
      </vt:variant>
      <vt:variant>
        <vt:i4>404</vt:i4>
      </vt:variant>
      <vt:variant>
        <vt:i4>0</vt:i4>
      </vt:variant>
      <vt:variant>
        <vt:i4>5</vt:i4>
      </vt:variant>
      <vt:variant>
        <vt:lpwstr/>
      </vt:variant>
      <vt:variant>
        <vt:lpwstr>_Toc42086530</vt:lpwstr>
      </vt:variant>
      <vt:variant>
        <vt:i4>1114160</vt:i4>
      </vt:variant>
      <vt:variant>
        <vt:i4>398</vt:i4>
      </vt:variant>
      <vt:variant>
        <vt:i4>0</vt:i4>
      </vt:variant>
      <vt:variant>
        <vt:i4>5</vt:i4>
      </vt:variant>
      <vt:variant>
        <vt:lpwstr/>
      </vt:variant>
      <vt:variant>
        <vt:lpwstr>_Toc42086529</vt:lpwstr>
      </vt:variant>
      <vt:variant>
        <vt:i4>1048624</vt:i4>
      </vt:variant>
      <vt:variant>
        <vt:i4>392</vt:i4>
      </vt:variant>
      <vt:variant>
        <vt:i4>0</vt:i4>
      </vt:variant>
      <vt:variant>
        <vt:i4>5</vt:i4>
      </vt:variant>
      <vt:variant>
        <vt:lpwstr/>
      </vt:variant>
      <vt:variant>
        <vt:lpwstr>_Toc42086528</vt:lpwstr>
      </vt:variant>
      <vt:variant>
        <vt:i4>2031664</vt:i4>
      </vt:variant>
      <vt:variant>
        <vt:i4>386</vt:i4>
      </vt:variant>
      <vt:variant>
        <vt:i4>0</vt:i4>
      </vt:variant>
      <vt:variant>
        <vt:i4>5</vt:i4>
      </vt:variant>
      <vt:variant>
        <vt:lpwstr/>
      </vt:variant>
      <vt:variant>
        <vt:lpwstr>_Toc42086527</vt:lpwstr>
      </vt:variant>
      <vt:variant>
        <vt:i4>1966128</vt:i4>
      </vt:variant>
      <vt:variant>
        <vt:i4>380</vt:i4>
      </vt:variant>
      <vt:variant>
        <vt:i4>0</vt:i4>
      </vt:variant>
      <vt:variant>
        <vt:i4>5</vt:i4>
      </vt:variant>
      <vt:variant>
        <vt:lpwstr/>
      </vt:variant>
      <vt:variant>
        <vt:lpwstr>_Toc42086526</vt:lpwstr>
      </vt:variant>
      <vt:variant>
        <vt:i4>1900592</vt:i4>
      </vt:variant>
      <vt:variant>
        <vt:i4>374</vt:i4>
      </vt:variant>
      <vt:variant>
        <vt:i4>0</vt:i4>
      </vt:variant>
      <vt:variant>
        <vt:i4>5</vt:i4>
      </vt:variant>
      <vt:variant>
        <vt:lpwstr/>
      </vt:variant>
      <vt:variant>
        <vt:lpwstr>_Toc42086525</vt:lpwstr>
      </vt:variant>
      <vt:variant>
        <vt:i4>1769520</vt:i4>
      </vt:variant>
      <vt:variant>
        <vt:i4>368</vt:i4>
      </vt:variant>
      <vt:variant>
        <vt:i4>0</vt:i4>
      </vt:variant>
      <vt:variant>
        <vt:i4>5</vt:i4>
      </vt:variant>
      <vt:variant>
        <vt:lpwstr/>
      </vt:variant>
      <vt:variant>
        <vt:lpwstr>_Toc42086523</vt:lpwstr>
      </vt:variant>
      <vt:variant>
        <vt:i4>1703984</vt:i4>
      </vt:variant>
      <vt:variant>
        <vt:i4>362</vt:i4>
      </vt:variant>
      <vt:variant>
        <vt:i4>0</vt:i4>
      </vt:variant>
      <vt:variant>
        <vt:i4>5</vt:i4>
      </vt:variant>
      <vt:variant>
        <vt:lpwstr/>
      </vt:variant>
      <vt:variant>
        <vt:lpwstr>_Toc42086522</vt:lpwstr>
      </vt:variant>
      <vt:variant>
        <vt:i4>1638448</vt:i4>
      </vt:variant>
      <vt:variant>
        <vt:i4>356</vt:i4>
      </vt:variant>
      <vt:variant>
        <vt:i4>0</vt:i4>
      </vt:variant>
      <vt:variant>
        <vt:i4>5</vt:i4>
      </vt:variant>
      <vt:variant>
        <vt:lpwstr/>
      </vt:variant>
      <vt:variant>
        <vt:lpwstr>_Toc42086521</vt:lpwstr>
      </vt:variant>
      <vt:variant>
        <vt:i4>1572912</vt:i4>
      </vt:variant>
      <vt:variant>
        <vt:i4>350</vt:i4>
      </vt:variant>
      <vt:variant>
        <vt:i4>0</vt:i4>
      </vt:variant>
      <vt:variant>
        <vt:i4>5</vt:i4>
      </vt:variant>
      <vt:variant>
        <vt:lpwstr/>
      </vt:variant>
      <vt:variant>
        <vt:lpwstr>_Toc42086520</vt:lpwstr>
      </vt:variant>
      <vt:variant>
        <vt:i4>1114163</vt:i4>
      </vt:variant>
      <vt:variant>
        <vt:i4>344</vt:i4>
      </vt:variant>
      <vt:variant>
        <vt:i4>0</vt:i4>
      </vt:variant>
      <vt:variant>
        <vt:i4>5</vt:i4>
      </vt:variant>
      <vt:variant>
        <vt:lpwstr/>
      </vt:variant>
      <vt:variant>
        <vt:lpwstr>_Toc42086519</vt:lpwstr>
      </vt:variant>
      <vt:variant>
        <vt:i4>1048627</vt:i4>
      </vt:variant>
      <vt:variant>
        <vt:i4>338</vt:i4>
      </vt:variant>
      <vt:variant>
        <vt:i4>0</vt:i4>
      </vt:variant>
      <vt:variant>
        <vt:i4>5</vt:i4>
      </vt:variant>
      <vt:variant>
        <vt:lpwstr/>
      </vt:variant>
      <vt:variant>
        <vt:lpwstr>_Toc42086518</vt:lpwstr>
      </vt:variant>
      <vt:variant>
        <vt:i4>2031667</vt:i4>
      </vt:variant>
      <vt:variant>
        <vt:i4>332</vt:i4>
      </vt:variant>
      <vt:variant>
        <vt:i4>0</vt:i4>
      </vt:variant>
      <vt:variant>
        <vt:i4>5</vt:i4>
      </vt:variant>
      <vt:variant>
        <vt:lpwstr/>
      </vt:variant>
      <vt:variant>
        <vt:lpwstr>_Toc42086517</vt:lpwstr>
      </vt:variant>
      <vt:variant>
        <vt:i4>1966131</vt:i4>
      </vt:variant>
      <vt:variant>
        <vt:i4>326</vt:i4>
      </vt:variant>
      <vt:variant>
        <vt:i4>0</vt:i4>
      </vt:variant>
      <vt:variant>
        <vt:i4>5</vt:i4>
      </vt:variant>
      <vt:variant>
        <vt:lpwstr/>
      </vt:variant>
      <vt:variant>
        <vt:lpwstr>_Toc42086516</vt:lpwstr>
      </vt:variant>
      <vt:variant>
        <vt:i4>1900595</vt:i4>
      </vt:variant>
      <vt:variant>
        <vt:i4>320</vt:i4>
      </vt:variant>
      <vt:variant>
        <vt:i4>0</vt:i4>
      </vt:variant>
      <vt:variant>
        <vt:i4>5</vt:i4>
      </vt:variant>
      <vt:variant>
        <vt:lpwstr/>
      </vt:variant>
      <vt:variant>
        <vt:lpwstr>_Toc42086515</vt:lpwstr>
      </vt:variant>
      <vt:variant>
        <vt:i4>1835059</vt:i4>
      </vt:variant>
      <vt:variant>
        <vt:i4>314</vt:i4>
      </vt:variant>
      <vt:variant>
        <vt:i4>0</vt:i4>
      </vt:variant>
      <vt:variant>
        <vt:i4>5</vt:i4>
      </vt:variant>
      <vt:variant>
        <vt:lpwstr/>
      </vt:variant>
      <vt:variant>
        <vt:lpwstr>_Toc42086514</vt:lpwstr>
      </vt:variant>
      <vt:variant>
        <vt:i4>1769523</vt:i4>
      </vt:variant>
      <vt:variant>
        <vt:i4>308</vt:i4>
      </vt:variant>
      <vt:variant>
        <vt:i4>0</vt:i4>
      </vt:variant>
      <vt:variant>
        <vt:i4>5</vt:i4>
      </vt:variant>
      <vt:variant>
        <vt:lpwstr/>
      </vt:variant>
      <vt:variant>
        <vt:lpwstr>_Toc42086513</vt:lpwstr>
      </vt:variant>
      <vt:variant>
        <vt:i4>1703987</vt:i4>
      </vt:variant>
      <vt:variant>
        <vt:i4>302</vt:i4>
      </vt:variant>
      <vt:variant>
        <vt:i4>0</vt:i4>
      </vt:variant>
      <vt:variant>
        <vt:i4>5</vt:i4>
      </vt:variant>
      <vt:variant>
        <vt:lpwstr/>
      </vt:variant>
      <vt:variant>
        <vt:lpwstr>_Toc42086512</vt:lpwstr>
      </vt:variant>
      <vt:variant>
        <vt:i4>1638451</vt:i4>
      </vt:variant>
      <vt:variant>
        <vt:i4>296</vt:i4>
      </vt:variant>
      <vt:variant>
        <vt:i4>0</vt:i4>
      </vt:variant>
      <vt:variant>
        <vt:i4>5</vt:i4>
      </vt:variant>
      <vt:variant>
        <vt:lpwstr/>
      </vt:variant>
      <vt:variant>
        <vt:lpwstr>_Toc42086511</vt:lpwstr>
      </vt:variant>
      <vt:variant>
        <vt:i4>1572915</vt:i4>
      </vt:variant>
      <vt:variant>
        <vt:i4>290</vt:i4>
      </vt:variant>
      <vt:variant>
        <vt:i4>0</vt:i4>
      </vt:variant>
      <vt:variant>
        <vt:i4>5</vt:i4>
      </vt:variant>
      <vt:variant>
        <vt:lpwstr/>
      </vt:variant>
      <vt:variant>
        <vt:lpwstr>_Toc42086510</vt:lpwstr>
      </vt:variant>
      <vt:variant>
        <vt:i4>1114162</vt:i4>
      </vt:variant>
      <vt:variant>
        <vt:i4>284</vt:i4>
      </vt:variant>
      <vt:variant>
        <vt:i4>0</vt:i4>
      </vt:variant>
      <vt:variant>
        <vt:i4>5</vt:i4>
      </vt:variant>
      <vt:variant>
        <vt:lpwstr/>
      </vt:variant>
      <vt:variant>
        <vt:lpwstr>_Toc42086509</vt:lpwstr>
      </vt:variant>
      <vt:variant>
        <vt:i4>1048626</vt:i4>
      </vt:variant>
      <vt:variant>
        <vt:i4>278</vt:i4>
      </vt:variant>
      <vt:variant>
        <vt:i4>0</vt:i4>
      </vt:variant>
      <vt:variant>
        <vt:i4>5</vt:i4>
      </vt:variant>
      <vt:variant>
        <vt:lpwstr/>
      </vt:variant>
      <vt:variant>
        <vt:lpwstr>_Toc42086508</vt:lpwstr>
      </vt:variant>
      <vt:variant>
        <vt:i4>2031666</vt:i4>
      </vt:variant>
      <vt:variant>
        <vt:i4>272</vt:i4>
      </vt:variant>
      <vt:variant>
        <vt:i4>0</vt:i4>
      </vt:variant>
      <vt:variant>
        <vt:i4>5</vt:i4>
      </vt:variant>
      <vt:variant>
        <vt:lpwstr/>
      </vt:variant>
      <vt:variant>
        <vt:lpwstr>_Toc42086507</vt:lpwstr>
      </vt:variant>
      <vt:variant>
        <vt:i4>1966130</vt:i4>
      </vt:variant>
      <vt:variant>
        <vt:i4>266</vt:i4>
      </vt:variant>
      <vt:variant>
        <vt:i4>0</vt:i4>
      </vt:variant>
      <vt:variant>
        <vt:i4>5</vt:i4>
      </vt:variant>
      <vt:variant>
        <vt:lpwstr/>
      </vt:variant>
      <vt:variant>
        <vt:lpwstr>_Toc42086506</vt:lpwstr>
      </vt:variant>
      <vt:variant>
        <vt:i4>1900594</vt:i4>
      </vt:variant>
      <vt:variant>
        <vt:i4>260</vt:i4>
      </vt:variant>
      <vt:variant>
        <vt:i4>0</vt:i4>
      </vt:variant>
      <vt:variant>
        <vt:i4>5</vt:i4>
      </vt:variant>
      <vt:variant>
        <vt:lpwstr/>
      </vt:variant>
      <vt:variant>
        <vt:lpwstr>_Toc42086505</vt:lpwstr>
      </vt:variant>
      <vt:variant>
        <vt:i4>1835058</vt:i4>
      </vt:variant>
      <vt:variant>
        <vt:i4>254</vt:i4>
      </vt:variant>
      <vt:variant>
        <vt:i4>0</vt:i4>
      </vt:variant>
      <vt:variant>
        <vt:i4>5</vt:i4>
      </vt:variant>
      <vt:variant>
        <vt:lpwstr/>
      </vt:variant>
      <vt:variant>
        <vt:lpwstr>_Toc42086504</vt:lpwstr>
      </vt:variant>
      <vt:variant>
        <vt:i4>1769522</vt:i4>
      </vt:variant>
      <vt:variant>
        <vt:i4>248</vt:i4>
      </vt:variant>
      <vt:variant>
        <vt:i4>0</vt:i4>
      </vt:variant>
      <vt:variant>
        <vt:i4>5</vt:i4>
      </vt:variant>
      <vt:variant>
        <vt:lpwstr/>
      </vt:variant>
      <vt:variant>
        <vt:lpwstr>_Toc42086503</vt:lpwstr>
      </vt:variant>
      <vt:variant>
        <vt:i4>1703986</vt:i4>
      </vt:variant>
      <vt:variant>
        <vt:i4>242</vt:i4>
      </vt:variant>
      <vt:variant>
        <vt:i4>0</vt:i4>
      </vt:variant>
      <vt:variant>
        <vt:i4>5</vt:i4>
      </vt:variant>
      <vt:variant>
        <vt:lpwstr/>
      </vt:variant>
      <vt:variant>
        <vt:lpwstr>_Toc42086502</vt:lpwstr>
      </vt:variant>
      <vt:variant>
        <vt:i4>1638450</vt:i4>
      </vt:variant>
      <vt:variant>
        <vt:i4>236</vt:i4>
      </vt:variant>
      <vt:variant>
        <vt:i4>0</vt:i4>
      </vt:variant>
      <vt:variant>
        <vt:i4>5</vt:i4>
      </vt:variant>
      <vt:variant>
        <vt:lpwstr/>
      </vt:variant>
      <vt:variant>
        <vt:lpwstr>_Toc42086501</vt:lpwstr>
      </vt:variant>
      <vt:variant>
        <vt:i4>1572914</vt:i4>
      </vt:variant>
      <vt:variant>
        <vt:i4>230</vt:i4>
      </vt:variant>
      <vt:variant>
        <vt:i4>0</vt:i4>
      </vt:variant>
      <vt:variant>
        <vt:i4>5</vt:i4>
      </vt:variant>
      <vt:variant>
        <vt:lpwstr/>
      </vt:variant>
      <vt:variant>
        <vt:lpwstr>_Toc42086500</vt:lpwstr>
      </vt:variant>
      <vt:variant>
        <vt:i4>1048635</vt:i4>
      </vt:variant>
      <vt:variant>
        <vt:i4>224</vt:i4>
      </vt:variant>
      <vt:variant>
        <vt:i4>0</vt:i4>
      </vt:variant>
      <vt:variant>
        <vt:i4>5</vt:i4>
      </vt:variant>
      <vt:variant>
        <vt:lpwstr/>
      </vt:variant>
      <vt:variant>
        <vt:lpwstr>_Toc42086499</vt:lpwstr>
      </vt:variant>
      <vt:variant>
        <vt:i4>1114171</vt:i4>
      </vt:variant>
      <vt:variant>
        <vt:i4>218</vt:i4>
      </vt:variant>
      <vt:variant>
        <vt:i4>0</vt:i4>
      </vt:variant>
      <vt:variant>
        <vt:i4>5</vt:i4>
      </vt:variant>
      <vt:variant>
        <vt:lpwstr/>
      </vt:variant>
      <vt:variant>
        <vt:lpwstr>_Toc42086498</vt:lpwstr>
      </vt:variant>
      <vt:variant>
        <vt:i4>1966139</vt:i4>
      </vt:variant>
      <vt:variant>
        <vt:i4>212</vt:i4>
      </vt:variant>
      <vt:variant>
        <vt:i4>0</vt:i4>
      </vt:variant>
      <vt:variant>
        <vt:i4>5</vt:i4>
      </vt:variant>
      <vt:variant>
        <vt:lpwstr/>
      </vt:variant>
      <vt:variant>
        <vt:lpwstr>_Toc42086497</vt:lpwstr>
      </vt:variant>
      <vt:variant>
        <vt:i4>1835067</vt:i4>
      </vt:variant>
      <vt:variant>
        <vt:i4>206</vt:i4>
      </vt:variant>
      <vt:variant>
        <vt:i4>0</vt:i4>
      </vt:variant>
      <vt:variant>
        <vt:i4>5</vt:i4>
      </vt:variant>
      <vt:variant>
        <vt:lpwstr/>
      </vt:variant>
      <vt:variant>
        <vt:lpwstr>_Toc42086495</vt:lpwstr>
      </vt:variant>
      <vt:variant>
        <vt:i4>1900603</vt:i4>
      </vt:variant>
      <vt:variant>
        <vt:i4>200</vt:i4>
      </vt:variant>
      <vt:variant>
        <vt:i4>0</vt:i4>
      </vt:variant>
      <vt:variant>
        <vt:i4>5</vt:i4>
      </vt:variant>
      <vt:variant>
        <vt:lpwstr/>
      </vt:variant>
      <vt:variant>
        <vt:lpwstr>_Toc42086494</vt:lpwstr>
      </vt:variant>
      <vt:variant>
        <vt:i4>1703995</vt:i4>
      </vt:variant>
      <vt:variant>
        <vt:i4>194</vt:i4>
      </vt:variant>
      <vt:variant>
        <vt:i4>0</vt:i4>
      </vt:variant>
      <vt:variant>
        <vt:i4>5</vt:i4>
      </vt:variant>
      <vt:variant>
        <vt:lpwstr/>
      </vt:variant>
      <vt:variant>
        <vt:lpwstr>_Toc42086493</vt:lpwstr>
      </vt:variant>
      <vt:variant>
        <vt:i4>1769531</vt:i4>
      </vt:variant>
      <vt:variant>
        <vt:i4>188</vt:i4>
      </vt:variant>
      <vt:variant>
        <vt:i4>0</vt:i4>
      </vt:variant>
      <vt:variant>
        <vt:i4>5</vt:i4>
      </vt:variant>
      <vt:variant>
        <vt:lpwstr/>
      </vt:variant>
      <vt:variant>
        <vt:lpwstr>_Toc42086492</vt:lpwstr>
      </vt:variant>
      <vt:variant>
        <vt:i4>1572923</vt:i4>
      </vt:variant>
      <vt:variant>
        <vt:i4>182</vt:i4>
      </vt:variant>
      <vt:variant>
        <vt:i4>0</vt:i4>
      </vt:variant>
      <vt:variant>
        <vt:i4>5</vt:i4>
      </vt:variant>
      <vt:variant>
        <vt:lpwstr/>
      </vt:variant>
      <vt:variant>
        <vt:lpwstr>_Toc42086491</vt:lpwstr>
      </vt:variant>
      <vt:variant>
        <vt:i4>1638459</vt:i4>
      </vt:variant>
      <vt:variant>
        <vt:i4>176</vt:i4>
      </vt:variant>
      <vt:variant>
        <vt:i4>0</vt:i4>
      </vt:variant>
      <vt:variant>
        <vt:i4>5</vt:i4>
      </vt:variant>
      <vt:variant>
        <vt:lpwstr/>
      </vt:variant>
      <vt:variant>
        <vt:lpwstr>_Toc42086490</vt:lpwstr>
      </vt:variant>
      <vt:variant>
        <vt:i4>1048634</vt:i4>
      </vt:variant>
      <vt:variant>
        <vt:i4>170</vt:i4>
      </vt:variant>
      <vt:variant>
        <vt:i4>0</vt:i4>
      </vt:variant>
      <vt:variant>
        <vt:i4>5</vt:i4>
      </vt:variant>
      <vt:variant>
        <vt:lpwstr/>
      </vt:variant>
      <vt:variant>
        <vt:lpwstr>_Toc42086489</vt:lpwstr>
      </vt:variant>
      <vt:variant>
        <vt:i4>1114170</vt:i4>
      </vt:variant>
      <vt:variant>
        <vt:i4>164</vt:i4>
      </vt:variant>
      <vt:variant>
        <vt:i4>0</vt:i4>
      </vt:variant>
      <vt:variant>
        <vt:i4>5</vt:i4>
      </vt:variant>
      <vt:variant>
        <vt:lpwstr/>
      </vt:variant>
      <vt:variant>
        <vt:lpwstr>_Toc42086488</vt:lpwstr>
      </vt:variant>
      <vt:variant>
        <vt:i4>1966138</vt:i4>
      </vt:variant>
      <vt:variant>
        <vt:i4>158</vt:i4>
      </vt:variant>
      <vt:variant>
        <vt:i4>0</vt:i4>
      </vt:variant>
      <vt:variant>
        <vt:i4>5</vt:i4>
      </vt:variant>
      <vt:variant>
        <vt:lpwstr/>
      </vt:variant>
      <vt:variant>
        <vt:lpwstr>_Toc42086487</vt:lpwstr>
      </vt:variant>
      <vt:variant>
        <vt:i4>2031674</vt:i4>
      </vt:variant>
      <vt:variant>
        <vt:i4>152</vt:i4>
      </vt:variant>
      <vt:variant>
        <vt:i4>0</vt:i4>
      </vt:variant>
      <vt:variant>
        <vt:i4>5</vt:i4>
      </vt:variant>
      <vt:variant>
        <vt:lpwstr/>
      </vt:variant>
      <vt:variant>
        <vt:lpwstr>_Toc42086486</vt:lpwstr>
      </vt:variant>
      <vt:variant>
        <vt:i4>1835066</vt:i4>
      </vt:variant>
      <vt:variant>
        <vt:i4>146</vt:i4>
      </vt:variant>
      <vt:variant>
        <vt:i4>0</vt:i4>
      </vt:variant>
      <vt:variant>
        <vt:i4>5</vt:i4>
      </vt:variant>
      <vt:variant>
        <vt:lpwstr/>
      </vt:variant>
      <vt:variant>
        <vt:lpwstr>_Toc42086485</vt:lpwstr>
      </vt:variant>
      <vt:variant>
        <vt:i4>1900602</vt:i4>
      </vt:variant>
      <vt:variant>
        <vt:i4>140</vt:i4>
      </vt:variant>
      <vt:variant>
        <vt:i4>0</vt:i4>
      </vt:variant>
      <vt:variant>
        <vt:i4>5</vt:i4>
      </vt:variant>
      <vt:variant>
        <vt:lpwstr/>
      </vt:variant>
      <vt:variant>
        <vt:lpwstr>_Toc42086484</vt:lpwstr>
      </vt:variant>
      <vt:variant>
        <vt:i4>1703994</vt:i4>
      </vt:variant>
      <vt:variant>
        <vt:i4>134</vt:i4>
      </vt:variant>
      <vt:variant>
        <vt:i4>0</vt:i4>
      </vt:variant>
      <vt:variant>
        <vt:i4>5</vt:i4>
      </vt:variant>
      <vt:variant>
        <vt:lpwstr/>
      </vt:variant>
      <vt:variant>
        <vt:lpwstr>_Toc42086483</vt:lpwstr>
      </vt:variant>
      <vt:variant>
        <vt:i4>1769530</vt:i4>
      </vt:variant>
      <vt:variant>
        <vt:i4>128</vt:i4>
      </vt:variant>
      <vt:variant>
        <vt:i4>0</vt:i4>
      </vt:variant>
      <vt:variant>
        <vt:i4>5</vt:i4>
      </vt:variant>
      <vt:variant>
        <vt:lpwstr/>
      </vt:variant>
      <vt:variant>
        <vt:lpwstr>_Toc42086482</vt:lpwstr>
      </vt:variant>
      <vt:variant>
        <vt:i4>1572922</vt:i4>
      </vt:variant>
      <vt:variant>
        <vt:i4>122</vt:i4>
      </vt:variant>
      <vt:variant>
        <vt:i4>0</vt:i4>
      </vt:variant>
      <vt:variant>
        <vt:i4>5</vt:i4>
      </vt:variant>
      <vt:variant>
        <vt:lpwstr/>
      </vt:variant>
      <vt:variant>
        <vt:lpwstr>_Toc42086481</vt:lpwstr>
      </vt:variant>
      <vt:variant>
        <vt:i4>1638458</vt:i4>
      </vt:variant>
      <vt:variant>
        <vt:i4>116</vt:i4>
      </vt:variant>
      <vt:variant>
        <vt:i4>0</vt:i4>
      </vt:variant>
      <vt:variant>
        <vt:i4>5</vt:i4>
      </vt:variant>
      <vt:variant>
        <vt:lpwstr/>
      </vt:variant>
      <vt:variant>
        <vt:lpwstr>_Toc42086480</vt:lpwstr>
      </vt:variant>
      <vt:variant>
        <vt:i4>1048629</vt:i4>
      </vt:variant>
      <vt:variant>
        <vt:i4>110</vt:i4>
      </vt:variant>
      <vt:variant>
        <vt:i4>0</vt:i4>
      </vt:variant>
      <vt:variant>
        <vt:i4>5</vt:i4>
      </vt:variant>
      <vt:variant>
        <vt:lpwstr/>
      </vt:variant>
      <vt:variant>
        <vt:lpwstr>_Toc42086479</vt:lpwstr>
      </vt:variant>
      <vt:variant>
        <vt:i4>1114165</vt:i4>
      </vt:variant>
      <vt:variant>
        <vt:i4>104</vt:i4>
      </vt:variant>
      <vt:variant>
        <vt:i4>0</vt:i4>
      </vt:variant>
      <vt:variant>
        <vt:i4>5</vt:i4>
      </vt:variant>
      <vt:variant>
        <vt:lpwstr/>
      </vt:variant>
      <vt:variant>
        <vt:lpwstr>_Toc42086478</vt:lpwstr>
      </vt:variant>
      <vt:variant>
        <vt:i4>1966133</vt:i4>
      </vt:variant>
      <vt:variant>
        <vt:i4>98</vt:i4>
      </vt:variant>
      <vt:variant>
        <vt:i4>0</vt:i4>
      </vt:variant>
      <vt:variant>
        <vt:i4>5</vt:i4>
      </vt:variant>
      <vt:variant>
        <vt:lpwstr/>
      </vt:variant>
      <vt:variant>
        <vt:lpwstr>_Toc42086477</vt:lpwstr>
      </vt:variant>
      <vt:variant>
        <vt:i4>2031669</vt:i4>
      </vt:variant>
      <vt:variant>
        <vt:i4>92</vt:i4>
      </vt:variant>
      <vt:variant>
        <vt:i4>0</vt:i4>
      </vt:variant>
      <vt:variant>
        <vt:i4>5</vt:i4>
      </vt:variant>
      <vt:variant>
        <vt:lpwstr/>
      </vt:variant>
      <vt:variant>
        <vt:lpwstr>_Toc42086476</vt:lpwstr>
      </vt:variant>
      <vt:variant>
        <vt:i4>1835061</vt:i4>
      </vt:variant>
      <vt:variant>
        <vt:i4>86</vt:i4>
      </vt:variant>
      <vt:variant>
        <vt:i4>0</vt:i4>
      </vt:variant>
      <vt:variant>
        <vt:i4>5</vt:i4>
      </vt:variant>
      <vt:variant>
        <vt:lpwstr/>
      </vt:variant>
      <vt:variant>
        <vt:lpwstr>_Toc42086475</vt:lpwstr>
      </vt:variant>
      <vt:variant>
        <vt:i4>1900597</vt:i4>
      </vt:variant>
      <vt:variant>
        <vt:i4>80</vt:i4>
      </vt:variant>
      <vt:variant>
        <vt:i4>0</vt:i4>
      </vt:variant>
      <vt:variant>
        <vt:i4>5</vt:i4>
      </vt:variant>
      <vt:variant>
        <vt:lpwstr/>
      </vt:variant>
      <vt:variant>
        <vt:lpwstr>_Toc42086474</vt:lpwstr>
      </vt:variant>
      <vt:variant>
        <vt:i4>1703989</vt:i4>
      </vt:variant>
      <vt:variant>
        <vt:i4>74</vt:i4>
      </vt:variant>
      <vt:variant>
        <vt:i4>0</vt:i4>
      </vt:variant>
      <vt:variant>
        <vt:i4>5</vt:i4>
      </vt:variant>
      <vt:variant>
        <vt:lpwstr/>
      </vt:variant>
      <vt:variant>
        <vt:lpwstr>_Toc42086473</vt:lpwstr>
      </vt:variant>
      <vt:variant>
        <vt:i4>1769525</vt:i4>
      </vt:variant>
      <vt:variant>
        <vt:i4>68</vt:i4>
      </vt:variant>
      <vt:variant>
        <vt:i4>0</vt:i4>
      </vt:variant>
      <vt:variant>
        <vt:i4>5</vt:i4>
      </vt:variant>
      <vt:variant>
        <vt:lpwstr/>
      </vt:variant>
      <vt:variant>
        <vt:lpwstr>_Toc42086472</vt:lpwstr>
      </vt:variant>
      <vt:variant>
        <vt:i4>1572917</vt:i4>
      </vt:variant>
      <vt:variant>
        <vt:i4>62</vt:i4>
      </vt:variant>
      <vt:variant>
        <vt:i4>0</vt:i4>
      </vt:variant>
      <vt:variant>
        <vt:i4>5</vt:i4>
      </vt:variant>
      <vt:variant>
        <vt:lpwstr/>
      </vt:variant>
      <vt:variant>
        <vt:lpwstr>_Toc42086471</vt:lpwstr>
      </vt:variant>
      <vt:variant>
        <vt:i4>1638453</vt:i4>
      </vt:variant>
      <vt:variant>
        <vt:i4>56</vt:i4>
      </vt:variant>
      <vt:variant>
        <vt:i4>0</vt:i4>
      </vt:variant>
      <vt:variant>
        <vt:i4>5</vt:i4>
      </vt:variant>
      <vt:variant>
        <vt:lpwstr/>
      </vt:variant>
      <vt:variant>
        <vt:lpwstr>_Toc42086470</vt:lpwstr>
      </vt:variant>
      <vt:variant>
        <vt:i4>1048628</vt:i4>
      </vt:variant>
      <vt:variant>
        <vt:i4>50</vt:i4>
      </vt:variant>
      <vt:variant>
        <vt:i4>0</vt:i4>
      </vt:variant>
      <vt:variant>
        <vt:i4>5</vt:i4>
      </vt:variant>
      <vt:variant>
        <vt:lpwstr/>
      </vt:variant>
      <vt:variant>
        <vt:lpwstr>_Toc42086469</vt:lpwstr>
      </vt:variant>
      <vt:variant>
        <vt:i4>1114164</vt:i4>
      </vt:variant>
      <vt:variant>
        <vt:i4>44</vt:i4>
      </vt:variant>
      <vt:variant>
        <vt:i4>0</vt:i4>
      </vt:variant>
      <vt:variant>
        <vt:i4>5</vt:i4>
      </vt:variant>
      <vt:variant>
        <vt:lpwstr/>
      </vt:variant>
      <vt:variant>
        <vt:lpwstr>_Toc42086468</vt:lpwstr>
      </vt:variant>
      <vt:variant>
        <vt:i4>1966132</vt:i4>
      </vt:variant>
      <vt:variant>
        <vt:i4>38</vt:i4>
      </vt:variant>
      <vt:variant>
        <vt:i4>0</vt:i4>
      </vt:variant>
      <vt:variant>
        <vt:i4>5</vt:i4>
      </vt:variant>
      <vt:variant>
        <vt:lpwstr/>
      </vt:variant>
      <vt:variant>
        <vt:lpwstr>_Toc42086467</vt:lpwstr>
      </vt:variant>
      <vt:variant>
        <vt:i4>2031668</vt:i4>
      </vt:variant>
      <vt:variant>
        <vt:i4>32</vt:i4>
      </vt:variant>
      <vt:variant>
        <vt:i4>0</vt:i4>
      </vt:variant>
      <vt:variant>
        <vt:i4>5</vt:i4>
      </vt:variant>
      <vt:variant>
        <vt:lpwstr/>
      </vt:variant>
      <vt:variant>
        <vt:lpwstr>_Toc42086466</vt:lpwstr>
      </vt:variant>
      <vt:variant>
        <vt:i4>1835060</vt:i4>
      </vt:variant>
      <vt:variant>
        <vt:i4>26</vt:i4>
      </vt:variant>
      <vt:variant>
        <vt:i4>0</vt:i4>
      </vt:variant>
      <vt:variant>
        <vt:i4>5</vt:i4>
      </vt:variant>
      <vt:variant>
        <vt:lpwstr/>
      </vt:variant>
      <vt:variant>
        <vt:lpwstr>_Toc42086465</vt:lpwstr>
      </vt:variant>
      <vt:variant>
        <vt:i4>1900596</vt:i4>
      </vt:variant>
      <vt:variant>
        <vt:i4>20</vt:i4>
      </vt:variant>
      <vt:variant>
        <vt:i4>0</vt:i4>
      </vt:variant>
      <vt:variant>
        <vt:i4>5</vt:i4>
      </vt:variant>
      <vt:variant>
        <vt:lpwstr/>
      </vt:variant>
      <vt:variant>
        <vt:lpwstr>_Toc42086464</vt:lpwstr>
      </vt:variant>
      <vt:variant>
        <vt:i4>1703988</vt:i4>
      </vt:variant>
      <vt:variant>
        <vt:i4>14</vt:i4>
      </vt:variant>
      <vt:variant>
        <vt:i4>0</vt:i4>
      </vt:variant>
      <vt:variant>
        <vt:i4>5</vt:i4>
      </vt:variant>
      <vt:variant>
        <vt:lpwstr/>
      </vt:variant>
      <vt:variant>
        <vt:lpwstr>_Toc42086463</vt:lpwstr>
      </vt:variant>
      <vt:variant>
        <vt:i4>1769524</vt:i4>
      </vt:variant>
      <vt:variant>
        <vt:i4>8</vt:i4>
      </vt:variant>
      <vt:variant>
        <vt:i4>0</vt:i4>
      </vt:variant>
      <vt:variant>
        <vt:i4>5</vt:i4>
      </vt:variant>
      <vt:variant>
        <vt:lpwstr/>
      </vt:variant>
      <vt:variant>
        <vt:lpwstr>_Toc42086462</vt:lpwstr>
      </vt:variant>
      <vt:variant>
        <vt:i4>1572916</vt:i4>
      </vt:variant>
      <vt:variant>
        <vt:i4>2</vt:i4>
      </vt:variant>
      <vt:variant>
        <vt:i4>0</vt:i4>
      </vt:variant>
      <vt:variant>
        <vt:i4>5</vt:i4>
      </vt:variant>
      <vt:variant>
        <vt:lpwstr/>
      </vt:variant>
      <vt:variant>
        <vt:lpwstr>_Toc42086461</vt:lpwstr>
      </vt:variant>
      <vt:variant>
        <vt:i4>5701650</vt:i4>
      </vt:variant>
      <vt:variant>
        <vt:i4>12</vt:i4>
      </vt:variant>
      <vt:variant>
        <vt:i4>0</vt:i4>
      </vt:variant>
      <vt:variant>
        <vt:i4>5</vt:i4>
      </vt:variant>
      <vt:variant>
        <vt:lpwstr>https://crism.ca/projects/covid/</vt:lpwstr>
      </vt:variant>
      <vt:variant>
        <vt:lpwstr/>
      </vt:variant>
      <vt:variant>
        <vt:i4>5177367</vt:i4>
      </vt:variant>
      <vt:variant>
        <vt:i4>9</vt:i4>
      </vt:variant>
      <vt:variant>
        <vt:i4>0</vt:i4>
      </vt:variant>
      <vt:variant>
        <vt:i4>5</vt:i4>
      </vt:variant>
      <vt:variant>
        <vt:lpwstr>https://crism.ca/wp-content/uploads/2020/05/CRISM-Guidance-Supporting-People-Who-Use-Substances-in-Emergency-Shelter-Settings-V1.pdf</vt:lpwstr>
      </vt:variant>
      <vt:variant>
        <vt:lpwstr/>
      </vt:variant>
      <vt:variant>
        <vt:i4>2621487</vt:i4>
      </vt:variant>
      <vt:variant>
        <vt:i4>6</vt:i4>
      </vt:variant>
      <vt:variant>
        <vt:i4>0</vt:i4>
      </vt:variant>
      <vt:variant>
        <vt:i4>5</vt:i4>
      </vt:variant>
      <vt:variant>
        <vt:lpwstr>https://www.canada.ca/en/public-health/services/diseases/2019-novel-coronavirus-infection/guidance-documents/homelessness.html</vt:lpwstr>
      </vt:variant>
      <vt:variant>
        <vt:lpwstr/>
      </vt:variant>
      <vt:variant>
        <vt:i4>262208</vt:i4>
      </vt:variant>
      <vt:variant>
        <vt:i4>3</vt:i4>
      </vt:variant>
      <vt:variant>
        <vt:i4>0</vt:i4>
      </vt:variant>
      <vt:variant>
        <vt:i4>5</vt:i4>
      </vt:variant>
      <vt:variant>
        <vt:lpwstr>https://www.cdc.gov/coronavirus/2019-ncov/php/homeless-service-providers.html</vt:lpwstr>
      </vt:variant>
      <vt:variant>
        <vt:lpwstr/>
      </vt:variant>
      <vt:variant>
        <vt:i4>5701642</vt:i4>
      </vt:variant>
      <vt:variant>
        <vt:i4>0</vt:i4>
      </vt:variant>
      <vt:variant>
        <vt:i4>0</vt:i4>
      </vt:variant>
      <vt:variant>
        <vt:i4>5</vt:i4>
      </vt:variant>
      <vt:variant>
        <vt:lpwstr>http://cnh3.ca/wp-content/uploads/Covid-19-Planning-Final-1-1.pdf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Guide</dc:title>
  <dc:subject/>
  <dc:creator>Stefania Seccia &amp; Debbie Harrison</dc:creator>
  <cp:keywords/>
  <dc:description/>
  <cp:lastModifiedBy>Debbie Harrison</cp:lastModifiedBy>
  <cp:revision>6</cp:revision>
  <cp:lastPrinted>2020-06-10T18:42:00Z</cp:lastPrinted>
  <dcterms:created xsi:type="dcterms:W3CDTF">2020-06-10T18:51:00Z</dcterms:created>
  <dcterms:modified xsi:type="dcterms:W3CDTF">2020-06-10T19:17:00Z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0x010100629DB37D27389348844CB027E8124558</vt:lpwstr>
  </property>
</Properties>
</file>