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612938" w:displacedByCustomXml="next"/>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4811D9DE" w14:textId="77777777" w:rsidR="006964E2" w:rsidRPr="00607C6A" w:rsidRDefault="006964E2" w:rsidP="006964E2"/>
        <w:p w14:paraId="6FDFFE20" w14:textId="77777777" w:rsidR="006964E2" w:rsidRDefault="006964E2" w:rsidP="006964E2">
          <w:pPr>
            <w:spacing w:before="360"/>
            <w:jc w:val="right"/>
            <w:rPr>
              <w:rStyle w:val="TitleChar"/>
            </w:rPr>
          </w:pPr>
          <w:r>
            <w:rPr>
              <w:noProof/>
            </w:rPr>
            <w:drawing>
              <wp:inline distT="0" distB="0" distL="0" distR="0" wp14:anchorId="32F92B84" wp14:editId="1C074238">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7F2501B7" w14:textId="77777777" w:rsidR="006964E2" w:rsidRDefault="006964E2" w:rsidP="006964E2">
          <w:pPr>
            <w:pStyle w:val="Title"/>
            <w:jc w:val="right"/>
            <w:rPr>
              <w:sz w:val="64"/>
              <w:szCs w:val="64"/>
            </w:rPr>
          </w:pPr>
        </w:p>
        <w:p w14:paraId="49BFBF7E" w14:textId="77777777" w:rsidR="006964E2" w:rsidRPr="00554C89" w:rsidRDefault="006964E2" w:rsidP="006964E2">
          <w:pPr>
            <w:pStyle w:val="Title"/>
            <w:jc w:val="right"/>
            <w:rPr>
              <w:sz w:val="48"/>
              <w:szCs w:val="48"/>
            </w:rPr>
          </w:pPr>
          <w:r w:rsidRPr="00554C89">
            <w:rPr>
              <w:sz w:val="48"/>
              <w:szCs w:val="48"/>
            </w:rPr>
            <w:t xml:space="preserve">A Pandemic Response and </w:t>
          </w:r>
          <w:r>
            <w:rPr>
              <w:sz w:val="48"/>
              <w:szCs w:val="48"/>
            </w:rPr>
            <w:br/>
          </w:r>
          <w:r w:rsidRPr="00554C89">
            <w:rPr>
              <w:sz w:val="48"/>
              <w:szCs w:val="48"/>
            </w:rPr>
            <w:t xml:space="preserve">Recovery Toolkit for Homeless </w:t>
          </w:r>
          <w:r w:rsidRPr="00554C89">
            <w:rPr>
              <w:sz w:val="48"/>
              <w:szCs w:val="48"/>
            </w:rPr>
            <w:br/>
            <w:t>System Leaders in Canada</w:t>
          </w:r>
        </w:p>
        <w:p w14:paraId="5C2221E8" w14:textId="77777777" w:rsidR="006964E2" w:rsidRDefault="006964E2" w:rsidP="006964E2">
          <w:pPr>
            <w:jc w:val="right"/>
          </w:pPr>
        </w:p>
        <w:p w14:paraId="247BB905" w14:textId="257BC84E" w:rsidR="006964E2" w:rsidRPr="00554C89" w:rsidRDefault="006964E2" w:rsidP="006964E2">
          <w:pPr>
            <w:pStyle w:val="Title"/>
            <w:spacing w:before="0" w:line="247" w:lineRule="auto"/>
            <w:jc w:val="right"/>
            <w:rPr>
              <w:color w:val="BE1E2D" w:themeColor="text2"/>
              <w:sz w:val="56"/>
              <w:szCs w:val="56"/>
            </w:rPr>
          </w:pPr>
          <w:r w:rsidRPr="00554C89">
            <w:rPr>
              <w:color w:val="BE1E2D" w:themeColor="text2"/>
              <w:sz w:val="56"/>
              <w:szCs w:val="56"/>
            </w:rPr>
            <w:t>Appendix A-</w:t>
          </w:r>
          <w:r>
            <w:rPr>
              <w:color w:val="BE1E2D" w:themeColor="text2"/>
              <w:sz w:val="56"/>
              <w:szCs w:val="56"/>
            </w:rPr>
            <w:t>2</w:t>
          </w:r>
          <w:r w:rsidRPr="00554C89">
            <w:rPr>
              <w:color w:val="BE1E2D" w:themeColor="text2"/>
              <w:sz w:val="56"/>
              <w:szCs w:val="56"/>
            </w:rPr>
            <w:t>.</w:t>
          </w:r>
        </w:p>
        <w:p w14:paraId="3975B255" w14:textId="1903290E" w:rsidR="006964E2" w:rsidRPr="00554C89" w:rsidRDefault="006964E2" w:rsidP="006964E2">
          <w:pPr>
            <w:pStyle w:val="Title"/>
            <w:spacing w:before="0" w:line="247" w:lineRule="auto"/>
            <w:jc w:val="right"/>
            <w:rPr>
              <w:color w:val="BE1E2D" w:themeColor="text2"/>
              <w:sz w:val="56"/>
              <w:szCs w:val="56"/>
            </w:rPr>
          </w:pPr>
          <w:r w:rsidRPr="006964E2">
            <w:rPr>
              <w:color w:val="BE1E2D" w:themeColor="text2"/>
              <w:sz w:val="56"/>
              <w:szCs w:val="56"/>
            </w:rPr>
            <w:t xml:space="preserve">Fostering Collective Response &amp; Recovery – A List of Potential </w:t>
          </w:r>
          <w:r>
            <w:rPr>
              <w:color w:val="BE1E2D" w:themeColor="text2"/>
              <w:sz w:val="56"/>
              <w:szCs w:val="56"/>
            </w:rPr>
            <w:br/>
          </w:r>
          <w:r w:rsidRPr="006964E2">
            <w:rPr>
              <w:color w:val="BE1E2D" w:themeColor="text2"/>
              <w:sz w:val="56"/>
              <w:szCs w:val="56"/>
            </w:rPr>
            <w:t>Partnering Entities and Their Roles</w:t>
          </w:r>
        </w:p>
        <w:p w14:paraId="73474596" w14:textId="77777777" w:rsidR="006964E2" w:rsidRDefault="006964E2" w:rsidP="006964E2">
          <w:pPr>
            <w:jc w:val="right"/>
          </w:pPr>
        </w:p>
        <w:p w14:paraId="10457C1D" w14:textId="77777777" w:rsidR="006964E2" w:rsidRDefault="006964E2" w:rsidP="006964E2">
          <w:pPr>
            <w:tabs>
              <w:tab w:val="left" w:pos="1800"/>
            </w:tabs>
            <w:jc w:val="right"/>
          </w:pPr>
          <w:r>
            <w:rPr>
              <w:rStyle w:val="SubtitleChar"/>
              <w:color w:val="555A51" w:themeColor="background2" w:themeShade="80"/>
              <w:sz w:val="22"/>
              <w:szCs w:val="22"/>
            </w:rPr>
            <w:tab/>
          </w:r>
          <w:bookmarkStart w:id="1" w:name="_Toc42598093"/>
          <w:bookmarkStart w:id="2" w:name="_Toc42612886"/>
          <w:r>
            <w:rPr>
              <w:rStyle w:val="SubtitleChar"/>
              <w:color w:val="555A51" w:themeColor="background2" w:themeShade="80"/>
              <w:sz w:val="22"/>
              <w:szCs w:val="22"/>
            </w:rPr>
            <w:t>Prepared</w:t>
          </w:r>
          <w:r w:rsidRPr="008060D4">
            <w:rPr>
              <w:rStyle w:val="SubtitleChar"/>
              <w:color w:val="555A51" w:themeColor="background2" w:themeShade="80"/>
              <w:sz w:val="22"/>
              <w:szCs w:val="22"/>
            </w:rPr>
            <w:t xml:space="preserve"> by: </w:t>
          </w:r>
          <w:proofErr w:type="spellStart"/>
          <w:r>
            <w:rPr>
              <w:rStyle w:val="SubtitleChar"/>
              <w:b/>
              <w:bCs/>
              <w:color w:val="555A51" w:themeColor="background2" w:themeShade="80"/>
              <w:sz w:val="22"/>
              <w:szCs w:val="22"/>
            </w:rPr>
            <w:t>OrgCode</w:t>
          </w:r>
          <w:proofErr w:type="spellEnd"/>
          <w:r>
            <w:rPr>
              <w:rStyle w:val="SubtitleChar"/>
              <w:b/>
              <w:bCs/>
              <w:color w:val="555A51" w:themeColor="background2" w:themeShade="80"/>
              <w:sz w:val="22"/>
              <w:szCs w:val="22"/>
            </w:rPr>
            <w:t xml:space="preserve"> Consulting, Inc.</w:t>
          </w:r>
          <w:bookmarkEnd w:id="1"/>
          <w:bookmarkEnd w:id="2"/>
          <w:r w:rsidRPr="00B56E28">
            <w:rPr>
              <w:rFonts w:ascii="Lucida Sans" w:hAnsi="Lucida Sans"/>
              <w:noProof/>
            </w:rPr>
            <w:t xml:space="preserve"> </w:t>
          </w:r>
        </w:p>
        <w:p w14:paraId="54B7184F" w14:textId="77777777" w:rsidR="006964E2" w:rsidRDefault="006964E2" w:rsidP="006964E2">
          <w:pPr>
            <w:jc w:val="both"/>
          </w:pPr>
          <w:r w:rsidRPr="009E0F72">
            <w:rPr>
              <w:rFonts w:ascii="Lucida Sans" w:hAnsi="Lucida Sans"/>
              <w:noProof/>
            </w:rPr>
            <w:drawing>
              <wp:anchor distT="0" distB="0" distL="114300" distR="114300" simplePos="0" relativeHeight="251659264" behindDoc="0" locked="0" layoutInCell="1" allowOverlap="1" wp14:anchorId="5D841AF6" wp14:editId="300B272F">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0F2C7C3F" w14:textId="77777777" w:rsidR="006964E2" w:rsidRDefault="006964E2" w:rsidP="006964E2">
          <w:pPr>
            <w:pStyle w:val="NoSpacing"/>
          </w:pPr>
        </w:p>
        <w:p w14:paraId="38A745CB" w14:textId="77777777" w:rsidR="006964E2" w:rsidRDefault="006964E2" w:rsidP="006964E2">
          <w:pPr>
            <w:pStyle w:val="NoSpacing"/>
          </w:pPr>
        </w:p>
        <w:p w14:paraId="042D4C79" w14:textId="77777777" w:rsidR="006964E2" w:rsidRDefault="006964E2" w:rsidP="006964E2">
          <w:pPr>
            <w:pStyle w:val="NoSpacing"/>
          </w:pPr>
        </w:p>
        <w:p w14:paraId="58DB7B9F" w14:textId="77777777" w:rsidR="006964E2" w:rsidRDefault="006964E2" w:rsidP="006964E2">
          <w:pPr>
            <w:pStyle w:val="NoSpacing"/>
          </w:pPr>
        </w:p>
        <w:p w14:paraId="77226F68" w14:textId="77777777" w:rsidR="006964E2" w:rsidRDefault="006964E2" w:rsidP="006964E2">
          <w:pPr>
            <w:pBdr>
              <w:bottom w:val="single" w:sz="4" w:space="1" w:color="BE1E2D" w:themeColor="text2"/>
            </w:pBdr>
          </w:pPr>
        </w:p>
        <w:p w14:paraId="7F18D127" w14:textId="77777777" w:rsidR="006964E2" w:rsidRDefault="006964E2" w:rsidP="006964E2">
          <w:pPr>
            <w:pBdr>
              <w:bottom w:val="single" w:sz="4" w:space="1" w:color="BE1E2D" w:themeColor="text2"/>
            </w:pBdr>
          </w:pPr>
        </w:p>
        <w:p w14:paraId="761CC66B" w14:textId="77777777" w:rsidR="006964E2" w:rsidRDefault="006964E2" w:rsidP="006964E2">
          <w:pPr>
            <w:pStyle w:val="Subtitle"/>
            <w:keepNext w:val="0"/>
            <w:keepLines w:val="0"/>
            <w:pageBreakBefore w:val="0"/>
            <w:spacing w:before="0" w:after="0"/>
            <w:jc w:val="right"/>
            <w:rPr>
              <w:rStyle w:val="SubtitleChar"/>
              <w:b/>
              <w:bCs/>
              <w:color w:val="555A51" w:themeColor="background2" w:themeShade="80"/>
              <w:sz w:val="22"/>
              <w:szCs w:val="22"/>
            </w:rPr>
          </w:pPr>
          <w:bookmarkStart w:id="3" w:name="_Toc42598094"/>
          <w:bookmarkStart w:id="4" w:name="_Toc42612887"/>
          <w:bookmarkStart w:id="5" w:name="_Toc42086460"/>
          <w:r w:rsidRPr="008060D4">
            <w:rPr>
              <w:rStyle w:val="SubtitleChar"/>
              <w:b/>
              <w:bCs/>
              <w:color w:val="555A51" w:themeColor="background2" w:themeShade="80"/>
              <w:sz w:val="22"/>
              <w:szCs w:val="22"/>
            </w:rPr>
            <w:t xml:space="preserve">June </w:t>
          </w:r>
          <w:r>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3"/>
          <w:bookmarkEnd w:id="4"/>
        </w:p>
        <w:p w14:paraId="48F4DD73" w14:textId="77777777" w:rsidR="006964E2" w:rsidRPr="00F01D7E" w:rsidRDefault="006964E2" w:rsidP="006964E2">
          <w:pPr>
            <w:pStyle w:val="NoSpacing"/>
          </w:pPr>
        </w:p>
        <w:p w14:paraId="74E051E0" w14:textId="77777777" w:rsidR="006964E2" w:rsidRDefault="006964E2" w:rsidP="006964E2">
          <w:pPr>
            <w:pStyle w:val="NoSpacing"/>
            <w:rPr>
              <w:szCs w:val="34"/>
            </w:rPr>
            <w:sectPr w:rsidR="006964E2" w:rsidSect="00895399">
              <w:footerReference w:type="even" r:id="rId13"/>
              <w:pgSz w:w="12240" w:h="15840" w:code="1"/>
              <w:pgMar w:top="1656" w:right="1440" w:bottom="1440" w:left="1440" w:header="720" w:footer="720" w:gutter="0"/>
              <w:cols w:space="708"/>
              <w:docGrid w:linePitch="360"/>
            </w:sectPr>
          </w:pPr>
        </w:p>
        <w:p w14:paraId="5CB1FB0E" w14:textId="77777777" w:rsidR="006964E2" w:rsidRPr="00554C89" w:rsidRDefault="006964E2" w:rsidP="006964E2">
          <w:pPr>
            <w:pStyle w:val="NoSpacing"/>
          </w:pPr>
        </w:p>
      </w:sdtContent>
    </w:sdt>
    <w:bookmarkEnd w:id="5" w:displacedByCustomXml="prev"/>
    <w:p w14:paraId="0C481270" w14:textId="77D7E9F9" w:rsidR="00611757" w:rsidRDefault="003D6B9A" w:rsidP="006964E2">
      <w:pPr>
        <w:pStyle w:val="Heading2"/>
        <w:numPr>
          <w:ilvl w:val="0"/>
          <w:numId w:val="0"/>
        </w:numPr>
        <w:spacing w:before="0"/>
        <w:ind w:left="576" w:hanging="576"/>
      </w:pPr>
      <w:bookmarkStart w:id="6" w:name="_Toc42612939"/>
      <w:bookmarkEnd w:id="0"/>
      <w:r>
        <w:t>A-2.</w:t>
      </w:r>
      <w:r>
        <w:tab/>
      </w:r>
      <w:r w:rsidR="00611757" w:rsidRPr="001845EF">
        <w:t>Fostering Collective Response &amp; Recovery</w:t>
      </w:r>
      <w:r w:rsidR="0027387F">
        <w:t xml:space="preserve"> </w:t>
      </w:r>
      <w:r w:rsidR="00611757" w:rsidRPr="001845EF">
        <w:t xml:space="preserve">– </w:t>
      </w:r>
      <w:r w:rsidR="00202ECE">
        <w:t>A List of Potential Partnering Entities and Their Roles</w:t>
      </w:r>
      <w:bookmarkEnd w:id="6"/>
    </w:p>
    <w:p w14:paraId="0332AD3F" w14:textId="77777777" w:rsidR="00FA4091" w:rsidRPr="00FA4091" w:rsidRDefault="00FA4091" w:rsidP="00FA4091">
      <w:pPr>
        <w:pStyle w:val="NoSpacing"/>
      </w:pPr>
    </w:p>
    <w:tbl>
      <w:tblPr>
        <w:tblStyle w:val="TableGrid"/>
        <w:tblW w:w="0" w:type="auto"/>
        <w:tblLook w:val="04A0" w:firstRow="1" w:lastRow="0" w:firstColumn="1" w:lastColumn="0" w:noHBand="0" w:noVBand="1"/>
      </w:tblPr>
      <w:tblGrid>
        <w:gridCol w:w="2263"/>
        <w:gridCol w:w="7087"/>
      </w:tblGrid>
      <w:tr w:rsidR="00FA4091" w:rsidRPr="00FA4091" w14:paraId="2ECD8530" w14:textId="77777777" w:rsidTr="00FA4091">
        <w:trPr>
          <w:tblHeader/>
        </w:trPr>
        <w:tc>
          <w:tcPr>
            <w:tcW w:w="2263" w:type="dxa"/>
            <w:shd w:val="clear" w:color="auto" w:fill="BE1E2D" w:themeFill="text2"/>
          </w:tcPr>
          <w:p w14:paraId="1E8CB9DC" w14:textId="309FC160" w:rsidR="00611757" w:rsidRPr="00FA4091" w:rsidRDefault="00FA4091" w:rsidP="00FA4091">
            <w:pPr>
              <w:spacing w:before="80" w:after="80" w:line="247" w:lineRule="auto"/>
              <w:rPr>
                <w:b/>
                <w:bCs/>
                <w:color w:val="FFFFFF" w:themeColor="background1"/>
              </w:rPr>
            </w:pPr>
            <w:r w:rsidRPr="00FA4091">
              <w:rPr>
                <w:b/>
                <w:bCs/>
                <w:color w:val="FFFFFF" w:themeColor="background1"/>
              </w:rPr>
              <w:t>Entity</w:t>
            </w:r>
          </w:p>
        </w:tc>
        <w:tc>
          <w:tcPr>
            <w:tcW w:w="7087" w:type="dxa"/>
            <w:shd w:val="clear" w:color="auto" w:fill="BE1E2D" w:themeFill="text2"/>
          </w:tcPr>
          <w:p w14:paraId="17C2FF6C" w14:textId="3EC3AA2F" w:rsidR="00611757" w:rsidRPr="00FA4091" w:rsidRDefault="00FA4091" w:rsidP="00FA4091">
            <w:pPr>
              <w:spacing w:before="80" w:after="80" w:line="247" w:lineRule="auto"/>
              <w:rPr>
                <w:b/>
                <w:bCs/>
                <w:color w:val="FFFFFF" w:themeColor="background1"/>
              </w:rPr>
            </w:pPr>
            <w:r w:rsidRPr="00FA4091">
              <w:rPr>
                <w:b/>
                <w:bCs/>
                <w:color w:val="FFFFFF" w:themeColor="background1"/>
              </w:rPr>
              <w:t>Role &amp; Responsibility</w:t>
            </w:r>
          </w:p>
        </w:tc>
      </w:tr>
      <w:tr w:rsidR="00611757" w:rsidRPr="00FA4091" w14:paraId="3CBA9227" w14:textId="77777777" w:rsidTr="0006591B">
        <w:tc>
          <w:tcPr>
            <w:tcW w:w="2263" w:type="dxa"/>
          </w:tcPr>
          <w:p w14:paraId="1D7B49B2" w14:textId="77777777" w:rsidR="00611757" w:rsidRPr="00FA4091" w:rsidRDefault="00611757" w:rsidP="00FA4091">
            <w:pPr>
              <w:spacing w:before="80" w:after="80" w:line="247" w:lineRule="auto"/>
            </w:pPr>
            <w:r w:rsidRPr="00FA4091">
              <w:t>Persons experiencing homelessness</w:t>
            </w:r>
          </w:p>
        </w:tc>
        <w:tc>
          <w:tcPr>
            <w:tcW w:w="7087" w:type="dxa"/>
          </w:tcPr>
          <w:p w14:paraId="1DC7018A" w14:textId="77777777" w:rsidR="00611757" w:rsidRPr="00FA4091" w:rsidRDefault="00611757" w:rsidP="00FA4091">
            <w:pPr>
              <w:pStyle w:val="Bullets"/>
              <w:spacing w:after="80" w:line="247" w:lineRule="auto"/>
            </w:pPr>
            <w:r w:rsidRPr="00FA4091">
              <w:t xml:space="preserve">Sharing lived experience when requested by planners, implementers, program staff or shelter operators. </w:t>
            </w:r>
          </w:p>
          <w:p w14:paraId="7692D6BC" w14:textId="77777777" w:rsidR="00611757" w:rsidRPr="00FA4091" w:rsidRDefault="00611757" w:rsidP="00FA4091">
            <w:pPr>
              <w:pStyle w:val="Bullets"/>
              <w:spacing w:after="80" w:line="247" w:lineRule="auto"/>
            </w:pPr>
            <w:r w:rsidRPr="00FA4091">
              <w:t>Providing leadership to peers.</w:t>
            </w:r>
          </w:p>
          <w:p w14:paraId="7A44CEB3" w14:textId="77777777" w:rsidR="00611757" w:rsidRPr="00FA4091" w:rsidRDefault="00611757" w:rsidP="00FA4091">
            <w:pPr>
              <w:pStyle w:val="Bullets"/>
              <w:spacing w:after="80" w:line="247" w:lineRule="auto"/>
            </w:pPr>
            <w:r w:rsidRPr="00FA4091">
              <w:t>Responding to surveys or focus groups or interviews.</w:t>
            </w:r>
          </w:p>
        </w:tc>
      </w:tr>
      <w:tr w:rsidR="00611757" w:rsidRPr="00FA4091" w14:paraId="2578676B" w14:textId="77777777" w:rsidTr="0006591B">
        <w:tc>
          <w:tcPr>
            <w:tcW w:w="2263" w:type="dxa"/>
          </w:tcPr>
          <w:p w14:paraId="5C85B603" w14:textId="77777777" w:rsidR="00611757" w:rsidRPr="00FA4091" w:rsidRDefault="00611757" w:rsidP="00FA4091">
            <w:pPr>
              <w:spacing w:before="80" w:after="80" w:line="247" w:lineRule="auto"/>
            </w:pPr>
            <w:r w:rsidRPr="00FA4091">
              <w:t>Frontline staff in homeless services</w:t>
            </w:r>
          </w:p>
        </w:tc>
        <w:tc>
          <w:tcPr>
            <w:tcW w:w="7087" w:type="dxa"/>
          </w:tcPr>
          <w:p w14:paraId="10A474BF" w14:textId="77777777" w:rsidR="00611757" w:rsidRPr="00FA4091" w:rsidRDefault="00611757" w:rsidP="00FA4091">
            <w:pPr>
              <w:pStyle w:val="Bullets"/>
              <w:spacing w:after="80" w:line="247" w:lineRule="auto"/>
            </w:pPr>
            <w:r w:rsidRPr="00FA4091">
              <w:t>Day to day service implementation</w:t>
            </w:r>
          </w:p>
          <w:p w14:paraId="101F8D32" w14:textId="77777777" w:rsidR="00611757" w:rsidRPr="00FA4091" w:rsidRDefault="00611757" w:rsidP="00FA4091">
            <w:pPr>
              <w:pStyle w:val="Bullets"/>
              <w:spacing w:after="80" w:line="247" w:lineRule="auto"/>
            </w:pPr>
            <w:r w:rsidRPr="00FA4091">
              <w:t>Issues management and response</w:t>
            </w:r>
          </w:p>
        </w:tc>
      </w:tr>
      <w:tr w:rsidR="00611757" w:rsidRPr="00FA4091" w14:paraId="15F26B9F" w14:textId="77777777" w:rsidTr="0006591B">
        <w:tc>
          <w:tcPr>
            <w:tcW w:w="2263" w:type="dxa"/>
          </w:tcPr>
          <w:p w14:paraId="17244CD0" w14:textId="77777777" w:rsidR="00611757" w:rsidRPr="00FA4091" w:rsidRDefault="00611757" w:rsidP="00FA4091">
            <w:pPr>
              <w:spacing w:before="80" w:after="80" w:line="247" w:lineRule="auto"/>
            </w:pPr>
            <w:r w:rsidRPr="00FA4091">
              <w:t>Management/ Supervisory Staff in homeless services</w:t>
            </w:r>
          </w:p>
        </w:tc>
        <w:tc>
          <w:tcPr>
            <w:tcW w:w="7087" w:type="dxa"/>
          </w:tcPr>
          <w:p w14:paraId="66A39257" w14:textId="77777777" w:rsidR="00611757" w:rsidRPr="00FA4091" w:rsidRDefault="00611757" w:rsidP="00FA4091">
            <w:pPr>
              <w:pStyle w:val="Bullets"/>
              <w:spacing w:after="80" w:line="247" w:lineRule="auto"/>
            </w:pPr>
            <w:r w:rsidRPr="00FA4091">
              <w:t>Staff supervision and coaching</w:t>
            </w:r>
          </w:p>
          <w:p w14:paraId="2C31F816" w14:textId="77777777" w:rsidR="00611757" w:rsidRPr="00FA4091" w:rsidRDefault="00611757" w:rsidP="00FA4091">
            <w:pPr>
              <w:pStyle w:val="Bullets"/>
              <w:spacing w:after="80" w:line="247" w:lineRule="auto"/>
            </w:pPr>
            <w:r w:rsidRPr="00FA4091">
              <w:t>Operational or staffing problem-solving</w:t>
            </w:r>
          </w:p>
          <w:p w14:paraId="14072DBA" w14:textId="77777777" w:rsidR="00611757" w:rsidRPr="00FA4091" w:rsidRDefault="00611757" w:rsidP="00FA4091">
            <w:pPr>
              <w:pStyle w:val="Bullets"/>
              <w:spacing w:after="80" w:line="247" w:lineRule="auto"/>
            </w:pPr>
            <w:r w:rsidRPr="00FA4091">
              <w:t>Authorizing program expenditures up to a certain limit</w:t>
            </w:r>
          </w:p>
          <w:p w14:paraId="7271E1DA" w14:textId="77777777" w:rsidR="00611757" w:rsidRPr="00FA4091" w:rsidRDefault="00611757" w:rsidP="00FA4091">
            <w:pPr>
              <w:pStyle w:val="Bullets"/>
              <w:spacing w:after="80" w:line="247" w:lineRule="auto"/>
            </w:pPr>
            <w:r w:rsidRPr="00FA4091">
              <w:t>Policy development and implementation</w:t>
            </w:r>
          </w:p>
        </w:tc>
      </w:tr>
      <w:tr w:rsidR="00611757" w:rsidRPr="00FA4091" w14:paraId="76EF8413" w14:textId="77777777" w:rsidTr="0006591B">
        <w:tc>
          <w:tcPr>
            <w:tcW w:w="2263" w:type="dxa"/>
          </w:tcPr>
          <w:p w14:paraId="10177D52" w14:textId="77777777" w:rsidR="00611757" w:rsidRPr="00FA4091" w:rsidRDefault="00611757" w:rsidP="00FA4091">
            <w:pPr>
              <w:spacing w:before="80" w:after="80" w:line="247" w:lineRule="auto"/>
            </w:pPr>
            <w:r w:rsidRPr="00FA4091">
              <w:t>Executive Staff in homeless services</w:t>
            </w:r>
          </w:p>
        </w:tc>
        <w:tc>
          <w:tcPr>
            <w:tcW w:w="7087" w:type="dxa"/>
          </w:tcPr>
          <w:p w14:paraId="702F5BFF" w14:textId="77777777" w:rsidR="00611757" w:rsidRPr="00FA4091" w:rsidRDefault="00611757" w:rsidP="00FA4091">
            <w:pPr>
              <w:pStyle w:val="Bullets"/>
              <w:spacing w:after="80" w:line="247" w:lineRule="auto"/>
            </w:pPr>
            <w:r w:rsidRPr="00FA4091">
              <w:t>Strategic direction</w:t>
            </w:r>
          </w:p>
          <w:p w14:paraId="63E94217" w14:textId="77777777" w:rsidR="00611757" w:rsidRPr="00FA4091" w:rsidRDefault="00611757" w:rsidP="00FA4091">
            <w:pPr>
              <w:pStyle w:val="Bullets"/>
              <w:spacing w:after="80" w:line="247" w:lineRule="auto"/>
            </w:pPr>
            <w:r w:rsidRPr="00FA4091">
              <w:t>Policy development and implementation</w:t>
            </w:r>
          </w:p>
          <w:p w14:paraId="06996153" w14:textId="77777777" w:rsidR="00611757" w:rsidRPr="00FA4091" w:rsidRDefault="00611757" w:rsidP="00FA4091">
            <w:pPr>
              <w:pStyle w:val="Bullets"/>
              <w:spacing w:after="80" w:line="247" w:lineRule="auto"/>
            </w:pPr>
            <w:r w:rsidRPr="00FA4091">
              <w:t>Policy problem solving</w:t>
            </w:r>
          </w:p>
          <w:p w14:paraId="45374F05" w14:textId="77777777" w:rsidR="00611757" w:rsidRPr="00FA4091" w:rsidRDefault="00611757" w:rsidP="00FA4091">
            <w:pPr>
              <w:pStyle w:val="Bullets"/>
              <w:spacing w:after="80" w:line="247" w:lineRule="auto"/>
            </w:pPr>
            <w:r w:rsidRPr="00FA4091">
              <w:t>Liaising with other homeless service system executives</w:t>
            </w:r>
          </w:p>
          <w:p w14:paraId="75DF508C" w14:textId="77777777" w:rsidR="00611757" w:rsidRPr="00FA4091" w:rsidRDefault="00611757" w:rsidP="00FA4091">
            <w:pPr>
              <w:pStyle w:val="Bullets"/>
              <w:spacing w:after="80" w:line="247" w:lineRule="auto"/>
            </w:pPr>
            <w:r w:rsidRPr="00FA4091">
              <w:t>Authorizing program expenditures beyond that of the management/supervisor of staff</w:t>
            </w:r>
          </w:p>
          <w:p w14:paraId="132213FB" w14:textId="77777777" w:rsidR="00611757" w:rsidRPr="00FA4091" w:rsidRDefault="00611757" w:rsidP="00FA4091">
            <w:pPr>
              <w:pStyle w:val="Bullets"/>
              <w:spacing w:after="80" w:line="247" w:lineRule="auto"/>
            </w:pPr>
            <w:r w:rsidRPr="00FA4091">
              <w:t>Advocating for resources</w:t>
            </w:r>
          </w:p>
          <w:p w14:paraId="1D65473F" w14:textId="77777777" w:rsidR="00611757" w:rsidRPr="00FA4091" w:rsidRDefault="00611757" w:rsidP="00FA4091">
            <w:pPr>
              <w:pStyle w:val="Bullets"/>
              <w:spacing w:after="80" w:line="247" w:lineRule="auto"/>
            </w:pPr>
            <w:r w:rsidRPr="00FA4091">
              <w:t>Supporting staff throughout the organization</w:t>
            </w:r>
          </w:p>
          <w:p w14:paraId="516B052A" w14:textId="77777777" w:rsidR="00611757" w:rsidRPr="00FA4091" w:rsidRDefault="00611757" w:rsidP="00FA4091">
            <w:pPr>
              <w:pStyle w:val="Bullets"/>
              <w:spacing w:after="80" w:line="247" w:lineRule="auto"/>
            </w:pPr>
            <w:r w:rsidRPr="00FA4091">
              <w:t>Managing/supporting internal and external communications</w:t>
            </w:r>
          </w:p>
          <w:p w14:paraId="11B20ED4" w14:textId="77777777" w:rsidR="00611757" w:rsidRPr="00FA4091" w:rsidRDefault="00611757" w:rsidP="00FA4091">
            <w:pPr>
              <w:pStyle w:val="Bullets"/>
              <w:spacing w:after="80" w:line="247" w:lineRule="auto"/>
            </w:pPr>
            <w:r w:rsidRPr="00FA4091">
              <w:t>Removing barriers</w:t>
            </w:r>
          </w:p>
        </w:tc>
      </w:tr>
      <w:tr w:rsidR="00611757" w:rsidRPr="00FA4091" w14:paraId="71372399" w14:textId="77777777" w:rsidTr="0006591B">
        <w:tc>
          <w:tcPr>
            <w:tcW w:w="2263" w:type="dxa"/>
          </w:tcPr>
          <w:p w14:paraId="5DAABB6C" w14:textId="77777777" w:rsidR="00611757" w:rsidRPr="00FA4091" w:rsidRDefault="00611757" w:rsidP="00FA4091">
            <w:pPr>
              <w:spacing w:before="80" w:after="80" w:line="247" w:lineRule="auto"/>
            </w:pPr>
            <w:r w:rsidRPr="00FA4091">
              <w:t>Communications</w:t>
            </w:r>
          </w:p>
        </w:tc>
        <w:tc>
          <w:tcPr>
            <w:tcW w:w="7087" w:type="dxa"/>
          </w:tcPr>
          <w:p w14:paraId="79E4F513" w14:textId="77777777" w:rsidR="00611757" w:rsidRPr="00FA4091" w:rsidRDefault="00611757" w:rsidP="00FA4091">
            <w:pPr>
              <w:pStyle w:val="Bullets"/>
              <w:spacing w:after="80" w:line="247" w:lineRule="auto"/>
            </w:pPr>
            <w:r w:rsidRPr="00FA4091">
              <w:t>Track media and handle media requests</w:t>
            </w:r>
          </w:p>
          <w:p w14:paraId="5F9AC7BF" w14:textId="77777777" w:rsidR="00611757" w:rsidRPr="00FA4091" w:rsidRDefault="00611757" w:rsidP="00FA4091">
            <w:pPr>
              <w:pStyle w:val="Bullets"/>
              <w:spacing w:after="80" w:line="247" w:lineRule="auto"/>
            </w:pPr>
            <w:r w:rsidRPr="00FA4091">
              <w:t>Develop FAQs and key messages</w:t>
            </w:r>
          </w:p>
          <w:p w14:paraId="4FEDCF51" w14:textId="77777777" w:rsidR="00611757" w:rsidRPr="00FA4091" w:rsidRDefault="00611757" w:rsidP="00FA4091">
            <w:pPr>
              <w:pStyle w:val="Bullets"/>
              <w:spacing w:after="80" w:line="247" w:lineRule="auto"/>
            </w:pPr>
            <w:r w:rsidRPr="00FA4091">
              <w:t>Develop and disseminate communication materials for people who are homeless or being supported in housing, and for service providers</w:t>
            </w:r>
          </w:p>
        </w:tc>
      </w:tr>
      <w:tr w:rsidR="00611757" w:rsidRPr="00FA4091" w14:paraId="1FC177BB" w14:textId="77777777" w:rsidTr="0006591B">
        <w:tc>
          <w:tcPr>
            <w:tcW w:w="2263" w:type="dxa"/>
          </w:tcPr>
          <w:p w14:paraId="6B5DA83B" w14:textId="77777777" w:rsidR="00611757" w:rsidRPr="00FA4091" w:rsidRDefault="00611757" w:rsidP="00FA4091">
            <w:pPr>
              <w:spacing w:before="80" w:after="80" w:line="247" w:lineRule="auto"/>
            </w:pPr>
            <w:r w:rsidRPr="00FA4091">
              <w:t>Non-profit Board of Directors of Homeless Service Organization</w:t>
            </w:r>
          </w:p>
        </w:tc>
        <w:tc>
          <w:tcPr>
            <w:tcW w:w="7087" w:type="dxa"/>
          </w:tcPr>
          <w:p w14:paraId="030BBED2" w14:textId="77777777" w:rsidR="00611757" w:rsidRPr="00FA4091" w:rsidRDefault="00611757" w:rsidP="00FA4091">
            <w:pPr>
              <w:pStyle w:val="Bullets"/>
              <w:spacing w:after="80" w:line="247" w:lineRule="auto"/>
            </w:pPr>
            <w:r w:rsidRPr="00FA4091">
              <w:t>Provide oversight of executive staff</w:t>
            </w:r>
          </w:p>
          <w:p w14:paraId="74A43A9A" w14:textId="77777777" w:rsidR="00611757" w:rsidRPr="00FA4091" w:rsidRDefault="00611757" w:rsidP="00FA4091">
            <w:pPr>
              <w:pStyle w:val="Bullets"/>
              <w:spacing w:after="80" w:line="247" w:lineRule="auto"/>
            </w:pPr>
            <w:r w:rsidRPr="00FA4091">
              <w:t>Provide governance and/or policy direction in response to emerging issues/needs</w:t>
            </w:r>
          </w:p>
          <w:p w14:paraId="5B692E9E" w14:textId="77777777" w:rsidR="00611757" w:rsidRPr="00FA4091" w:rsidRDefault="00611757" w:rsidP="00FA4091">
            <w:pPr>
              <w:pStyle w:val="Bullets"/>
              <w:spacing w:after="80" w:line="247" w:lineRule="auto"/>
            </w:pPr>
            <w:r w:rsidRPr="00FA4091">
              <w:t>Assist with problem solving at direction of executive</w:t>
            </w:r>
          </w:p>
          <w:p w14:paraId="6D2E39F0" w14:textId="77777777" w:rsidR="00611757" w:rsidRPr="00FA4091" w:rsidRDefault="00611757" w:rsidP="00FA4091">
            <w:pPr>
              <w:pStyle w:val="Bullets"/>
              <w:spacing w:after="80" w:line="247" w:lineRule="auto"/>
            </w:pPr>
            <w:r w:rsidRPr="00FA4091">
              <w:t>Liaise with external executive partners as necessary</w:t>
            </w:r>
          </w:p>
          <w:p w14:paraId="2171A486" w14:textId="77777777" w:rsidR="00611757" w:rsidRPr="00FA4091" w:rsidRDefault="00611757" w:rsidP="00FA4091">
            <w:pPr>
              <w:pStyle w:val="Bullets"/>
              <w:spacing w:after="80" w:line="247" w:lineRule="auto"/>
            </w:pPr>
            <w:r w:rsidRPr="00FA4091">
              <w:lastRenderedPageBreak/>
              <w:t>Secure resources for new service response, as necessary and appropriate</w:t>
            </w:r>
          </w:p>
        </w:tc>
      </w:tr>
      <w:tr w:rsidR="00611757" w:rsidRPr="00FA4091" w14:paraId="73D9CF2E" w14:textId="77777777" w:rsidTr="0006591B">
        <w:tc>
          <w:tcPr>
            <w:tcW w:w="2263" w:type="dxa"/>
          </w:tcPr>
          <w:p w14:paraId="5C1B0C9C" w14:textId="77777777" w:rsidR="00611757" w:rsidRPr="00FA4091" w:rsidRDefault="00611757" w:rsidP="00FA4091">
            <w:pPr>
              <w:spacing w:before="80" w:after="80" w:line="247" w:lineRule="auto"/>
            </w:pPr>
            <w:r w:rsidRPr="00FA4091">
              <w:lastRenderedPageBreak/>
              <w:t>Elected Officials</w:t>
            </w:r>
          </w:p>
        </w:tc>
        <w:tc>
          <w:tcPr>
            <w:tcW w:w="7087" w:type="dxa"/>
          </w:tcPr>
          <w:p w14:paraId="14BFA80C" w14:textId="77777777" w:rsidR="00611757" w:rsidRPr="00FA4091" w:rsidRDefault="00611757" w:rsidP="00FA4091">
            <w:pPr>
              <w:pStyle w:val="Bullets"/>
              <w:spacing w:after="80" w:line="247" w:lineRule="auto"/>
            </w:pPr>
            <w:r w:rsidRPr="00FA4091">
              <w:t>Strategic direction</w:t>
            </w:r>
          </w:p>
          <w:p w14:paraId="179E9301" w14:textId="77777777" w:rsidR="00611757" w:rsidRPr="00FA4091" w:rsidRDefault="00611757" w:rsidP="00FA4091">
            <w:pPr>
              <w:pStyle w:val="Bullets"/>
              <w:spacing w:after="80" w:line="247" w:lineRule="auto"/>
            </w:pPr>
            <w:r w:rsidRPr="00FA4091">
              <w:t>Freeing up and authorizing emergency resources</w:t>
            </w:r>
          </w:p>
          <w:p w14:paraId="397A3B25" w14:textId="77777777" w:rsidR="00611757" w:rsidRPr="00FA4091" w:rsidRDefault="00611757" w:rsidP="00FA4091">
            <w:pPr>
              <w:pStyle w:val="Bullets"/>
              <w:spacing w:after="80" w:line="247" w:lineRule="auto"/>
            </w:pPr>
            <w:r w:rsidRPr="00FA4091">
              <w:t>Political will to make fundamental changes in service delivery and resource allocation for homeless services.</w:t>
            </w:r>
          </w:p>
          <w:p w14:paraId="213BD39C" w14:textId="77777777" w:rsidR="00611757" w:rsidRPr="00FA4091" w:rsidRDefault="00611757" w:rsidP="00FA4091">
            <w:pPr>
              <w:pStyle w:val="Bullets"/>
              <w:spacing w:after="80" w:line="247" w:lineRule="auto"/>
            </w:pPr>
            <w:r w:rsidRPr="00FA4091">
              <w:t>Necessary for helping to organize community engagement meetings or conversations when necessary for new development or acquisition to help address NIMBY.</w:t>
            </w:r>
          </w:p>
          <w:p w14:paraId="0F31C0FF" w14:textId="77777777" w:rsidR="00611757" w:rsidRPr="00FA4091" w:rsidRDefault="00611757" w:rsidP="00FA4091">
            <w:pPr>
              <w:pStyle w:val="Bullets"/>
              <w:spacing w:after="80" w:line="247" w:lineRule="auto"/>
            </w:pPr>
            <w:r w:rsidRPr="00FA4091">
              <w:t>Approve the use of funding to help effectively address homelessness and assist as many people as possible exit homelessness.</w:t>
            </w:r>
          </w:p>
          <w:p w14:paraId="02C5A865" w14:textId="77777777" w:rsidR="00611757" w:rsidRPr="00FA4091" w:rsidRDefault="00611757" w:rsidP="00FA4091">
            <w:pPr>
              <w:pStyle w:val="Bullets"/>
              <w:spacing w:after="80" w:line="247" w:lineRule="auto"/>
            </w:pPr>
            <w:r w:rsidRPr="00FA4091">
              <w:t>Reinforce that housing is the cure to homelessness, with increased advocacy and support for more safe, affordable and appropriate housing.</w:t>
            </w:r>
          </w:p>
        </w:tc>
      </w:tr>
      <w:tr w:rsidR="00611757" w:rsidRPr="00FA4091" w14:paraId="715C6FF9" w14:textId="77777777" w:rsidTr="0006591B">
        <w:tc>
          <w:tcPr>
            <w:tcW w:w="2263" w:type="dxa"/>
          </w:tcPr>
          <w:p w14:paraId="05EE032A" w14:textId="77777777" w:rsidR="00611757" w:rsidRPr="00FA4091" w:rsidRDefault="00611757" w:rsidP="00FA4091">
            <w:pPr>
              <w:spacing w:before="80" w:after="80" w:line="247" w:lineRule="auto"/>
            </w:pPr>
            <w:r w:rsidRPr="00FA4091">
              <w:t>Emergency/ Incident Manager/ Chief</w:t>
            </w:r>
          </w:p>
        </w:tc>
        <w:tc>
          <w:tcPr>
            <w:tcW w:w="7087" w:type="dxa"/>
          </w:tcPr>
          <w:p w14:paraId="16FC1895" w14:textId="77777777" w:rsidR="00611757" w:rsidRPr="00FA4091" w:rsidRDefault="00611757" w:rsidP="00FA4091">
            <w:pPr>
              <w:pStyle w:val="Bullets"/>
              <w:spacing w:after="80" w:line="247" w:lineRule="auto"/>
            </w:pPr>
            <w:r w:rsidRPr="00FA4091">
              <w:t>Leads disaster response for all impacted parties (not just homelessness)</w:t>
            </w:r>
          </w:p>
          <w:p w14:paraId="6047DA0D" w14:textId="77777777" w:rsidR="00611757" w:rsidRPr="00FA4091" w:rsidRDefault="00611757" w:rsidP="00FA4091">
            <w:pPr>
              <w:pStyle w:val="Bullets"/>
              <w:spacing w:after="80" w:line="247" w:lineRule="auto"/>
            </w:pPr>
            <w:r w:rsidRPr="00FA4091">
              <w:t>Needs to be briefed on matters that pertain to homelessness.</w:t>
            </w:r>
          </w:p>
          <w:p w14:paraId="3F852154" w14:textId="77777777" w:rsidR="00611757" w:rsidRPr="00FA4091" w:rsidRDefault="00611757" w:rsidP="00FA4091">
            <w:pPr>
              <w:pStyle w:val="Bullets"/>
              <w:spacing w:after="80" w:line="247" w:lineRule="auto"/>
            </w:pPr>
            <w:r w:rsidRPr="00FA4091">
              <w:t>Advises when the emergency response should come to an end.</w:t>
            </w:r>
          </w:p>
        </w:tc>
      </w:tr>
      <w:tr w:rsidR="00611757" w:rsidRPr="00FA4091" w14:paraId="361A4E17" w14:textId="77777777" w:rsidTr="0006591B">
        <w:tc>
          <w:tcPr>
            <w:tcW w:w="2263" w:type="dxa"/>
          </w:tcPr>
          <w:p w14:paraId="0240A935" w14:textId="77777777" w:rsidR="00611757" w:rsidRPr="00FA4091" w:rsidRDefault="00611757" w:rsidP="00FA4091">
            <w:pPr>
              <w:spacing w:before="80" w:after="80" w:line="247" w:lineRule="auto"/>
            </w:pPr>
            <w:r w:rsidRPr="00FA4091">
              <w:t>Public Health</w:t>
            </w:r>
          </w:p>
        </w:tc>
        <w:tc>
          <w:tcPr>
            <w:tcW w:w="7087" w:type="dxa"/>
          </w:tcPr>
          <w:p w14:paraId="05A81293" w14:textId="77777777" w:rsidR="00611757" w:rsidRPr="00FA4091" w:rsidRDefault="00611757" w:rsidP="00FA4091">
            <w:pPr>
              <w:pStyle w:val="Bullets"/>
              <w:spacing w:after="80" w:line="247" w:lineRule="auto"/>
            </w:pPr>
            <w:r w:rsidRPr="00FA4091">
              <w:t>Leadership voice on disasters that are public health in nature (e.g., pandemic)</w:t>
            </w:r>
          </w:p>
          <w:p w14:paraId="1BDD4D5A" w14:textId="77777777" w:rsidR="00611757" w:rsidRPr="00FA4091" w:rsidRDefault="00611757" w:rsidP="00FA4091">
            <w:pPr>
              <w:pStyle w:val="Bullets"/>
              <w:spacing w:after="80" w:line="247" w:lineRule="auto"/>
            </w:pPr>
            <w:r w:rsidRPr="00FA4091">
              <w:t>Provides guidance to the homelessness service sector on measures that must be taken, as well as measures that should be considered from a public health perspective.</w:t>
            </w:r>
          </w:p>
          <w:p w14:paraId="13ED25CB" w14:textId="77777777" w:rsidR="00611757" w:rsidRPr="00FA4091" w:rsidRDefault="00611757" w:rsidP="00FA4091">
            <w:pPr>
              <w:pStyle w:val="Bullets"/>
              <w:spacing w:after="80" w:line="247" w:lineRule="auto"/>
            </w:pPr>
            <w:r w:rsidRPr="00FA4091">
              <w:t>Leads the response to testing in the event of a pandemic, and provides direction on physical distancing, concentration of people in any facility, screening, and so on.</w:t>
            </w:r>
          </w:p>
          <w:p w14:paraId="0BCF9881" w14:textId="77777777" w:rsidR="00611757" w:rsidRPr="00FA4091" w:rsidRDefault="00611757" w:rsidP="00FA4091">
            <w:pPr>
              <w:pStyle w:val="Bullets"/>
              <w:spacing w:after="80" w:line="247" w:lineRule="auto"/>
            </w:pPr>
            <w:r w:rsidRPr="00FA4091">
              <w:t xml:space="preserve">Access CAEH’s COVID-19 Resource on </w:t>
            </w:r>
            <w:hyperlink r:id="rId14" w:history="1">
              <w:r w:rsidRPr="00FA4091">
                <w:rPr>
                  <w:rStyle w:val="Hyperlink"/>
                  <w:sz w:val="22"/>
                </w:rPr>
                <w:t>Requesting Leadership and Support from Local Public Health Units</w:t>
              </w:r>
            </w:hyperlink>
            <w:r w:rsidRPr="00FA4091">
              <w:t xml:space="preserve"> for specific examples of how health should get involved.</w:t>
            </w:r>
          </w:p>
        </w:tc>
      </w:tr>
      <w:tr w:rsidR="00611757" w:rsidRPr="00FA4091" w14:paraId="432D0211" w14:textId="77777777" w:rsidTr="0006591B">
        <w:tc>
          <w:tcPr>
            <w:tcW w:w="2263" w:type="dxa"/>
          </w:tcPr>
          <w:p w14:paraId="2A32938C" w14:textId="77777777" w:rsidR="00611757" w:rsidRPr="00FA4091" w:rsidRDefault="00611757" w:rsidP="00FA4091">
            <w:pPr>
              <w:spacing w:before="80" w:after="80" w:line="247" w:lineRule="auto"/>
            </w:pPr>
            <w:r w:rsidRPr="00FA4091">
              <w:t>Other Health Services</w:t>
            </w:r>
          </w:p>
        </w:tc>
        <w:tc>
          <w:tcPr>
            <w:tcW w:w="7087" w:type="dxa"/>
          </w:tcPr>
          <w:p w14:paraId="71533314" w14:textId="77777777" w:rsidR="00611757" w:rsidRPr="00FA4091" w:rsidRDefault="00611757" w:rsidP="00FA4091">
            <w:pPr>
              <w:pStyle w:val="Bullets"/>
              <w:spacing w:after="80" w:line="247" w:lineRule="auto"/>
            </w:pPr>
            <w:r w:rsidRPr="00FA4091">
              <w:t>Help with navigating and managing physical and mental health issues, as well as harm reduction and addiction services during the disaster.</w:t>
            </w:r>
          </w:p>
          <w:p w14:paraId="1FDB8293" w14:textId="77777777" w:rsidR="00611757" w:rsidRPr="00FA4091" w:rsidRDefault="00611757" w:rsidP="00FA4091">
            <w:pPr>
              <w:pStyle w:val="Bullets"/>
              <w:spacing w:after="80" w:line="247" w:lineRule="auto"/>
            </w:pPr>
            <w:r w:rsidRPr="00FA4091">
              <w:t>Provide supplemental frontline resources, commonly, to the homelessness response system during the duration of the disaster (and sometimes, beyond).</w:t>
            </w:r>
          </w:p>
        </w:tc>
      </w:tr>
      <w:tr w:rsidR="00611757" w:rsidRPr="00FA4091" w14:paraId="4051EA8D" w14:textId="77777777" w:rsidTr="0006591B">
        <w:tc>
          <w:tcPr>
            <w:tcW w:w="2263" w:type="dxa"/>
          </w:tcPr>
          <w:p w14:paraId="30B516A6" w14:textId="77777777" w:rsidR="00611757" w:rsidRPr="00FA4091" w:rsidRDefault="00611757" w:rsidP="00FA4091">
            <w:pPr>
              <w:spacing w:before="80" w:after="80" w:line="247" w:lineRule="auto"/>
            </w:pPr>
            <w:r w:rsidRPr="00FA4091">
              <w:t>Senior Public Servants</w:t>
            </w:r>
          </w:p>
        </w:tc>
        <w:tc>
          <w:tcPr>
            <w:tcW w:w="7087" w:type="dxa"/>
          </w:tcPr>
          <w:p w14:paraId="2E32BB4B" w14:textId="77777777" w:rsidR="00611757" w:rsidRPr="00FA4091" w:rsidRDefault="00611757" w:rsidP="00FA4091">
            <w:pPr>
              <w:pStyle w:val="Bullets"/>
              <w:spacing w:after="80" w:line="247" w:lineRule="auto"/>
            </w:pPr>
            <w:r w:rsidRPr="00FA4091">
              <w:t>Make changes to policy or practice internally to any program or service designed by government but delivered by the community-based sector.</w:t>
            </w:r>
          </w:p>
          <w:p w14:paraId="6B47EFAE" w14:textId="77777777" w:rsidR="00611757" w:rsidRPr="00FA4091" w:rsidRDefault="00611757" w:rsidP="00FA4091">
            <w:pPr>
              <w:pStyle w:val="Bullets"/>
              <w:spacing w:after="80" w:line="247" w:lineRule="auto"/>
            </w:pPr>
            <w:r w:rsidRPr="00FA4091">
              <w:t>Collect and analyze data.</w:t>
            </w:r>
          </w:p>
          <w:p w14:paraId="41C2D255" w14:textId="77777777" w:rsidR="00611757" w:rsidRPr="00FA4091" w:rsidRDefault="00611757" w:rsidP="00FA4091">
            <w:pPr>
              <w:pStyle w:val="Bullets"/>
              <w:spacing w:after="80" w:line="247" w:lineRule="auto"/>
            </w:pPr>
            <w:r w:rsidRPr="00FA4091">
              <w:lastRenderedPageBreak/>
              <w:t>Stay informed of main currents of thought and practice in comparable jurisdictions.</w:t>
            </w:r>
          </w:p>
          <w:p w14:paraId="6A0BE4E9" w14:textId="77777777" w:rsidR="00611757" w:rsidRPr="00FA4091" w:rsidRDefault="00611757" w:rsidP="00FA4091">
            <w:pPr>
              <w:pStyle w:val="Bullets"/>
              <w:spacing w:after="80" w:line="247" w:lineRule="auto"/>
            </w:pPr>
            <w:r w:rsidRPr="00FA4091">
              <w:t>Evaluate effectiveness of overall response and make recommendations for refinement and future Improvement.</w:t>
            </w:r>
          </w:p>
          <w:p w14:paraId="6559BD45" w14:textId="77777777" w:rsidR="00611757" w:rsidRPr="00FA4091" w:rsidRDefault="00611757" w:rsidP="00FA4091">
            <w:pPr>
              <w:pStyle w:val="Bullets"/>
              <w:spacing w:after="80" w:line="247" w:lineRule="auto"/>
            </w:pPr>
            <w:r w:rsidRPr="00FA4091">
              <w:t>Remove barriers.</w:t>
            </w:r>
          </w:p>
          <w:p w14:paraId="3EBEFF38" w14:textId="77777777" w:rsidR="00611757" w:rsidRPr="00FA4091" w:rsidRDefault="00611757" w:rsidP="00FA4091">
            <w:pPr>
              <w:pStyle w:val="Bullets"/>
              <w:spacing w:after="80" w:line="247" w:lineRule="auto"/>
            </w:pPr>
            <w:r w:rsidRPr="00FA4091">
              <w:t>Develop/navigate legislative guidance or implementation.</w:t>
            </w:r>
          </w:p>
        </w:tc>
      </w:tr>
      <w:tr w:rsidR="00611757" w:rsidRPr="00FA4091" w14:paraId="76B03831" w14:textId="77777777" w:rsidTr="0006591B">
        <w:tc>
          <w:tcPr>
            <w:tcW w:w="2263" w:type="dxa"/>
          </w:tcPr>
          <w:p w14:paraId="219FE995" w14:textId="77777777" w:rsidR="00611757" w:rsidRPr="00FA4091" w:rsidRDefault="00611757" w:rsidP="00FA4091">
            <w:pPr>
              <w:spacing w:before="80" w:after="80" w:line="247" w:lineRule="auto"/>
            </w:pPr>
            <w:r w:rsidRPr="00FA4091">
              <w:lastRenderedPageBreak/>
              <w:t>Philanthropy</w:t>
            </w:r>
          </w:p>
        </w:tc>
        <w:tc>
          <w:tcPr>
            <w:tcW w:w="7087" w:type="dxa"/>
          </w:tcPr>
          <w:p w14:paraId="0ED0C21D" w14:textId="77777777" w:rsidR="00611757" w:rsidRPr="00FA4091" w:rsidRDefault="00611757" w:rsidP="00FA4091">
            <w:pPr>
              <w:pStyle w:val="Bullets"/>
              <w:spacing w:after="80" w:line="247" w:lineRule="auto"/>
            </w:pPr>
            <w:r w:rsidRPr="00FA4091">
              <w:t>Should strategically invest in the vision for the entire system that is grounded in evidence informed practices regarding disaster recovery and homeless responses.</w:t>
            </w:r>
          </w:p>
          <w:p w14:paraId="79B382DC" w14:textId="77777777" w:rsidR="00611757" w:rsidRPr="00FA4091" w:rsidRDefault="00611757" w:rsidP="00FA4091">
            <w:pPr>
              <w:pStyle w:val="Bullets"/>
              <w:spacing w:after="80" w:line="247" w:lineRule="auto"/>
            </w:pPr>
            <w:r w:rsidRPr="00FA4091">
              <w:t>Avoid philanthropy that selects specific families, couples or singles to help independent of the system of care (“Adopted Households” for the recovery process).</w:t>
            </w:r>
          </w:p>
        </w:tc>
      </w:tr>
      <w:tr w:rsidR="00611757" w:rsidRPr="00FA4091" w14:paraId="40B15841" w14:textId="77777777" w:rsidTr="0006591B">
        <w:tc>
          <w:tcPr>
            <w:tcW w:w="2263" w:type="dxa"/>
          </w:tcPr>
          <w:p w14:paraId="61689CD2" w14:textId="77777777" w:rsidR="00611757" w:rsidRPr="00FA4091" w:rsidRDefault="00611757" w:rsidP="00FA4091">
            <w:pPr>
              <w:spacing w:before="80" w:after="80" w:line="247" w:lineRule="auto"/>
            </w:pPr>
            <w:r w:rsidRPr="00FA4091">
              <w:t>Elders</w:t>
            </w:r>
          </w:p>
        </w:tc>
        <w:tc>
          <w:tcPr>
            <w:tcW w:w="7087" w:type="dxa"/>
          </w:tcPr>
          <w:p w14:paraId="05550939" w14:textId="77777777" w:rsidR="00611757" w:rsidRPr="00FA4091" w:rsidRDefault="00611757" w:rsidP="00FA4091">
            <w:pPr>
              <w:pStyle w:val="Bullets"/>
              <w:spacing w:after="80" w:line="247" w:lineRule="auto"/>
            </w:pPr>
            <w:r w:rsidRPr="00FA4091">
              <w:t>Provide cultural guidance, assurances and leadership.</w:t>
            </w:r>
          </w:p>
          <w:p w14:paraId="2A4F7686" w14:textId="77777777" w:rsidR="00611757" w:rsidRPr="00FA4091" w:rsidRDefault="00611757" w:rsidP="00FA4091">
            <w:pPr>
              <w:pStyle w:val="Bullets"/>
              <w:spacing w:after="80" w:line="247" w:lineRule="auto"/>
            </w:pPr>
            <w:r w:rsidRPr="00FA4091">
              <w:t>Context setting.</w:t>
            </w:r>
          </w:p>
          <w:p w14:paraId="4582A99A" w14:textId="77777777" w:rsidR="00611757" w:rsidRPr="00FA4091" w:rsidRDefault="00611757" w:rsidP="00FA4091">
            <w:pPr>
              <w:pStyle w:val="Bullets"/>
              <w:spacing w:after="80" w:line="247" w:lineRule="auto"/>
            </w:pPr>
            <w:r w:rsidRPr="00FA4091">
              <w:t>Grounding the experience and activities with purpose.</w:t>
            </w:r>
          </w:p>
        </w:tc>
      </w:tr>
      <w:tr w:rsidR="00611757" w:rsidRPr="00FA4091" w14:paraId="2414E7FC" w14:textId="77777777" w:rsidTr="0006591B">
        <w:tc>
          <w:tcPr>
            <w:tcW w:w="2263" w:type="dxa"/>
          </w:tcPr>
          <w:p w14:paraId="6E939140" w14:textId="77777777" w:rsidR="00611757" w:rsidRPr="00FA4091" w:rsidRDefault="00611757" w:rsidP="00FA4091">
            <w:pPr>
              <w:spacing w:before="80" w:after="80" w:line="247" w:lineRule="auto"/>
            </w:pPr>
            <w:r w:rsidRPr="00FA4091">
              <w:t>Faith Based Leaders</w:t>
            </w:r>
          </w:p>
        </w:tc>
        <w:tc>
          <w:tcPr>
            <w:tcW w:w="7087" w:type="dxa"/>
          </w:tcPr>
          <w:p w14:paraId="2E3823B6" w14:textId="77777777" w:rsidR="00611757" w:rsidRPr="00FA4091" w:rsidRDefault="00611757" w:rsidP="00FA4091">
            <w:pPr>
              <w:pStyle w:val="Bullets"/>
              <w:spacing w:after="80" w:line="247" w:lineRule="auto"/>
            </w:pPr>
            <w:r w:rsidRPr="00FA4091">
              <w:t>Appeal to congregations for resources needed by those impacted by disaster.</w:t>
            </w:r>
          </w:p>
          <w:p w14:paraId="3ABEC07A" w14:textId="77777777" w:rsidR="00611757" w:rsidRPr="00FA4091" w:rsidRDefault="00611757" w:rsidP="00FA4091">
            <w:pPr>
              <w:pStyle w:val="Bullets"/>
              <w:spacing w:after="80" w:line="247" w:lineRule="auto"/>
            </w:pPr>
            <w:r w:rsidRPr="00FA4091">
              <w:t>Safely mobilize volunteers to assist the professionals in the homeless serving response, as requested by the homelessness partners.</w:t>
            </w:r>
          </w:p>
          <w:p w14:paraId="42EAED79" w14:textId="77777777" w:rsidR="00611757" w:rsidRPr="00FA4091" w:rsidRDefault="00611757" w:rsidP="00FA4091">
            <w:pPr>
              <w:pStyle w:val="Bullets"/>
              <w:spacing w:after="80" w:line="247" w:lineRule="auto"/>
            </w:pPr>
            <w:r w:rsidRPr="00FA4091">
              <w:t>Provide access to facilities for temporary shelter or service use, or meeting space for system leaders.</w:t>
            </w:r>
          </w:p>
          <w:p w14:paraId="49A51D0A" w14:textId="77777777" w:rsidR="00611757" w:rsidRPr="00FA4091" w:rsidRDefault="00611757" w:rsidP="00FA4091">
            <w:pPr>
              <w:pStyle w:val="Bullets"/>
              <w:spacing w:after="80" w:line="247" w:lineRule="auto"/>
            </w:pPr>
            <w:r w:rsidRPr="00FA4091">
              <w:t xml:space="preserve">As appropriate, create, support or fund meaningful daily activities while following public health guidelines for those impacted by the disaster. Access CAEH’s COVID-19 Resource on </w:t>
            </w:r>
            <w:hyperlink r:id="rId15" w:history="1">
              <w:r w:rsidRPr="00FA4091">
                <w:rPr>
                  <w:rStyle w:val="Hyperlink"/>
                  <w:sz w:val="22"/>
                </w:rPr>
                <w:t>Meaningful Activities</w:t>
              </w:r>
            </w:hyperlink>
            <w:r w:rsidRPr="00FA4091">
              <w:t xml:space="preserve"> for specific examples.</w:t>
            </w:r>
          </w:p>
          <w:p w14:paraId="5E57D98E" w14:textId="77777777" w:rsidR="00611757" w:rsidRPr="00FA4091" w:rsidRDefault="00611757" w:rsidP="00FA4091">
            <w:pPr>
              <w:pStyle w:val="Bullets"/>
              <w:spacing w:after="80" w:line="247" w:lineRule="auto"/>
            </w:pPr>
            <w:r w:rsidRPr="00FA4091">
              <w:t>With appropriate food handling certification in place, assist with meal preparation, handling and service.</w:t>
            </w:r>
          </w:p>
          <w:p w14:paraId="6B41FD04" w14:textId="77777777" w:rsidR="00611757" w:rsidRPr="00FA4091" w:rsidRDefault="00611757" w:rsidP="00FA4091">
            <w:pPr>
              <w:pStyle w:val="Bullets"/>
              <w:spacing w:after="80" w:line="247" w:lineRule="auto"/>
            </w:pPr>
            <w:r w:rsidRPr="00FA4091">
              <w:t>Advocate with elected officials and other community leaders for the supports and services needed as part of the disaster recovery.</w:t>
            </w:r>
          </w:p>
          <w:p w14:paraId="5D9479E3" w14:textId="77777777" w:rsidR="00611757" w:rsidRPr="00FA4091" w:rsidRDefault="00611757" w:rsidP="00FA4091">
            <w:pPr>
              <w:pStyle w:val="Bullets"/>
              <w:spacing w:after="80" w:line="247" w:lineRule="auto"/>
            </w:pPr>
            <w:r w:rsidRPr="00FA4091">
              <w:t>Provide funding for essential initiatives that are currently not funded or where purchasing practices of government, organizations or institutions are making it difficult. (For example, a church bought cigarettes for homeless persons socially isolating in a motel in one community during COVID-19).</w:t>
            </w:r>
          </w:p>
        </w:tc>
      </w:tr>
      <w:tr w:rsidR="00611757" w:rsidRPr="00FA4091" w14:paraId="3A400C76" w14:textId="77777777" w:rsidTr="0006591B">
        <w:tc>
          <w:tcPr>
            <w:tcW w:w="2263" w:type="dxa"/>
          </w:tcPr>
          <w:p w14:paraId="51148550" w14:textId="77777777" w:rsidR="00611757" w:rsidRPr="00FA4091" w:rsidRDefault="00611757" w:rsidP="00FA4091">
            <w:pPr>
              <w:spacing w:before="80" w:after="80" w:line="247" w:lineRule="auto"/>
            </w:pPr>
            <w:r w:rsidRPr="00FA4091">
              <w:t>Law Enforcement</w:t>
            </w:r>
          </w:p>
        </w:tc>
        <w:tc>
          <w:tcPr>
            <w:tcW w:w="7087" w:type="dxa"/>
          </w:tcPr>
          <w:p w14:paraId="1B4B34F1" w14:textId="77777777" w:rsidR="00611757" w:rsidRPr="00FA4091" w:rsidRDefault="00611757" w:rsidP="00FA4091">
            <w:pPr>
              <w:pStyle w:val="Bullets"/>
              <w:spacing w:after="80" w:line="247" w:lineRule="auto"/>
            </w:pPr>
            <w:r w:rsidRPr="00FA4091">
              <w:t>Decrease enforcement activities and focusing on community policing with an emphasis of relaying information and providing transportation as necessary.</w:t>
            </w:r>
          </w:p>
          <w:p w14:paraId="2F3AC417" w14:textId="77777777" w:rsidR="00611757" w:rsidRPr="00FA4091" w:rsidRDefault="00611757" w:rsidP="00FA4091">
            <w:pPr>
              <w:pStyle w:val="Bullets"/>
              <w:spacing w:after="80" w:line="247" w:lineRule="auto"/>
            </w:pPr>
            <w:r w:rsidRPr="00FA4091">
              <w:lastRenderedPageBreak/>
              <w:t>When necessary, respond to incidents within the non-congregate shelter settings that are assembled.</w:t>
            </w:r>
          </w:p>
          <w:p w14:paraId="7C816538" w14:textId="77777777" w:rsidR="00611757" w:rsidRPr="00FA4091" w:rsidRDefault="00611757" w:rsidP="00FA4091">
            <w:pPr>
              <w:pStyle w:val="Bullets"/>
              <w:spacing w:after="80" w:line="247" w:lineRule="auto"/>
            </w:pPr>
            <w:r w:rsidRPr="00FA4091">
              <w:t>Assist with mapping known encampments.</w:t>
            </w:r>
          </w:p>
          <w:p w14:paraId="0B14FE66" w14:textId="77777777" w:rsidR="00611757" w:rsidRPr="00FA4091" w:rsidRDefault="00611757" w:rsidP="00FA4091">
            <w:pPr>
              <w:pStyle w:val="Bullets"/>
              <w:spacing w:after="80" w:line="247" w:lineRule="auto"/>
            </w:pPr>
            <w:proofErr w:type="gramStart"/>
            <w:r w:rsidRPr="00FA4091">
              <w:t>Provide assista</w:t>
            </w:r>
            <w:bookmarkStart w:id="7" w:name="_GoBack"/>
            <w:bookmarkEnd w:id="7"/>
            <w:r w:rsidRPr="00FA4091">
              <w:t>nce</w:t>
            </w:r>
            <w:proofErr w:type="gramEnd"/>
            <w:r w:rsidRPr="00FA4091">
              <w:t xml:space="preserve"> with street outreach activities.</w:t>
            </w:r>
          </w:p>
          <w:p w14:paraId="3F7035A5" w14:textId="77777777" w:rsidR="00611757" w:rsidRPr="00FA4091" w:rsidRDefault="00611757" w:rsidP="00FA4091">
            <w:pPr>
              <w:pStyle w:val="Bullets"/>
              <w:spacing w:after="80" w:line="247" w:lineRule="auto"/>
            </w:pPr>
            <w:r w:rsidRPr="00FA4091">
              <w:t>Assist with crowd management at temporary service sites.</w:t>
            </w:r>
          </w:p>
          <w:p w14:paraId="4EC6C352" w14:textId="77777777" w:rsidR="00611757" w:rsidRPr="00FA4091" w:rsidRDefault="00611757" w:rsidP="00FA4091">
            <w:pPr>
              <w:pStyle w:val="Bullets"/>
              <w:spacing w:after="80" w:line="247" w:lineRule="auto"/>
            </w:pPr>
            <w:r w:rsidRPr="00FA4091">
              <w:t>Cease all encampment closure activities during the time of the disaster and until such time as every person in the encampment can be offered housing or appropriate shelter, unless there are emergency public health or criminal concerns with the encampment as is.</w:t>
            </w:r>
          </w:p>
        </w:tc>
      </w:tr>
      <w:tr w:rsidR="00611757" w:rsidRPr="00FA4091" w14:paraId="2331CA83" w14:textId="77777777" w:rsidTr="0006591B">
        <w:tc>
          <w:tcPr>
            <w:tcW w:w="2263" w:type="dxa"/>
          </w:tcPr>
          <w:p w14:paraId="462AE561" w14:textId="77777777" w:rsidR="00611757" w:rsidRPr="00FA4091" w:rsidRDefault="00611757" w:rsidP="00FA4091">
            <w:pPr>
              <w:spacing w:before="80" w:after="80" w:line="247" w:lineRule="auto"/>
            </w:pPr>
            <w:r w:rsidRPr="00FA4091">
              <w:lastRenderedPageBreak/>
              <w:t>Business Leaders</w:t>
            </w:r>
          </w:p>
        </w:tc>
        <w:tc>
          <w:tcPr>
            <w:tcW w:w="7087" w:type="dxa"/>
          </w:tcPr>
          <w:p w14:paraId="76AEA442" w14:textId="77777777" w:rsidR="00611757" w:rsidRPr="00FA4091" w:rsidRDefault="00611757" w:rsidP="00FA4091">
            <w:pPr>
              <w:pStyle w:val="Bullets"/>
              <w:spacing w:after="80" w:line="247" w:lineRule="auto"/>
            </w:pPr>
            <w:r w:rsidRPr="00FA4091">
              <w:t>Briefed on the moral and economic necessity of responding to homelessness and working to end it.</w:t>
            </w:r>
          </w:p>
          <w:p w14:paraId="24E07901" w14:textId="77777777" w:rsidR="00611757" w:rsidRPr="00FA4091" w:rsidRDefault="00611757" w:rsidP="00FA4091">
            <w:pPr>
              <w:pStyle w:val="Bullets"/>
              <w:spacing w:after="80" w:line="247" w:lineRule="auto"/>
            </w:pPr>
            <w:r w:rsidRPr="00FA4091">
              <w:t>Appealed to in order to create jobs for homeless and formerly homeless persons.</w:t>
            </w:r>
          </w:p>
          <w:p w14:paraId="528EED1C" w14:textId="77777777" w:rsidR="00611757" w:rsidRPr="00FA4091" w:rsidRDefault="00611757" w:rsidP="00FA4091">
            <w:pPr>
              <w:pStyle w:val="Bullets"/>
              <w:spacing w:after="80" w:line="247" w:lineRule="auto"/>
            </w:pPr>
            <w:r w:rsidRPr="00FA4091">
              <w:t>Assist in getting the attention of elected officials, senior public servants or other stakeholders that may be reluctant to engage with the homeless services system.</w:t>
            </w:r>
          </w:p>
          <w:p w14:paraId="502B2B87" w14:textId="77777777" w:rsidR="00611757" w:rsidRPr="00FA4091" w:rsidRDefault="00611757" w:rsidP="00FA4091">
            <w:pPr>
              <w:pStyle w:val="Bullets"/>
              <w:spacing w:after="80" w:line="247" w:lineRule="auto"/>
            </w:pPr>
            <w:r w:rsidRPr="00FA4091">
              <w:t>Can organize targeted philanthropy and invest in resources that government cannot (or cannot quickly).</w:t>
            </w:r>
          </w:p>
        </w:tc>
      </w:tr>
      <w:tr w:rsidR="00611757" w:rsidRPr="00FA4091" w14:paraId="3CB9E7F6" w14:textId="77777777" w:rsidTr="0006591B">
        <w:tc>
          <w:tcPr>
            <w:tcW w:w="2263" w:type="dxa"/>
          </w:tcPr>
          <w:p w14:paraId="4832CFB8" w14:textId="77777777" w:rsidR="00611757" w:rsidRPr="00FA4091" w:rsidRDefault="00611757" w:rsidP="00FA4091">
            <w:pPr>
              <w:spacing w:before="80" w:after="80" w:line="247" w:lineRule="auto"/>
            </w:pPr>
            <w:r w:rsidRPr="00FA4091">
              <w:t>Universities and Colleges</w:t>
            </w:r>
          </w:p>
        </w:tc>
        <w:tc>
          <w:tcPr>
            <w:tcW w:w="7087" w:type="dxa"/>
          </w:tcPr>
          <w:p w14:paraId="60578E4C" w14:textId="77777777" w:rsidR="00611757" w:rsidRPr="00FA4091" w:rsidRDefault="00611757" w:rsidP="00FA4091">
            <w:pPr>
              <w:pStyle w:val="Bullets"/>
              <w:spacing w:after="80" w:line="247" w:lineRule="auto"/>
            </w:pPr>
            <w:r w:rsidRPr="00FA4091">
              <w:t>Provide resources that may be needed in operations (e.g., personal protective equipment) that would otherwise be used in a lab setting.</w:t>
            </w:r>
          </w:p>
          <w:p w14:paraId="19FAEC41" w14:textId="77777777" w:rsidR="00611757" w:rsidRPr="00FA4091" w:rsidRDefault="00611757" w:rsidP="00FA4091">
            <w:pPr>
              <w:pStyle w:val="Bullets"/>
              <w:spacing w:after="80" w:line="247" w:lineRule="auto"/>
            </w:pPr>
            <w:r w:rsidRPr="00FA4091">
              <w:t>Provide data analysis and evaluation services.</w:t>
            </w:r>
          </w:p>
          <w:p w14:paraId="4A4629A4" w14:textId="77777777" w:rsidR="00611757" w:rsidRPr="00FA4091" w:rsidRDefault="00611757" w:rsidP="00FA4091">
            <w:pPr>
              <w:pStyle w:val="Bullets"/>
              <w:spacing w:after="80" w:line="247" w:lineRule="auto"/>
            </w:pPr>
            <w:r w:rsidRPr="00FA4091">
              <w:t>Can help project housing and support demands based upon the impacts of the pandemic.</w:t>
            </w:r>
          </w:p>
          <w:p w14:paraId="00B862FB" w14:textId="77777777" w:rsidR="00611757" w:rsidRPr="00FA4091" w:rsidRDefault="00611757" w:rsidP="00FA4091">
            <w:pPr>
              <w:pStyle w:val="Bullets"/>
              <w:spacing w:after="80" w:line="247" w:lineRule="auto"/>
            </w:pPr>
            <w:r w:rsidRPr="00FA4091">
              <w:t>Can assist with policy development and policy analysis.</w:t>
            </w:r>
          </w:p>
        </w:tc>
      </w:tr>
      <w:tr w:rsidR="00611757" w:rsidRPr="00FA4091" w14:paraId="7C9DE1A8" w14:textId="77777777" w:rsidTr="0006591B">
        <w:tc>
          <w:tcPr>
            <w:tcW w:w="2263" w:type="dxa"/>
          </w:tcPr>
          <w:p w14:paraId="4304ABB9" w14:textId="77777777" w:rsidR="00611757" w:rsidRPr="00FA4091" w:rsidRDefault="00611757" w:rsidP="00FA4091">
            <w:pPr>
              <w:spacing w:before="80" w:after="80" w:line="247" w:lineRule="auto"/>
            </w:pPr>
            <w:r w:rsidRPr="00FA4091">
              <w:t>Information Technology</w:t>
            </w:r>
          </w:p>
        </w:tc>
        <w:tc>
          <w:tcPr>
            <w:tcW w:w="7087" w:type="dxa"/>
          </w:tcPr>
          <w:p w14:paraId="253CB7F8" w14:textId="77777777" w:rsidR="00611757" w:rsidRPr="00FA4091" w:rsidRDefault="00611757" w:rsidP="00FA4091">
            <w:pPr>
              <w:pStyle w:val="Bullets"/>
              <w:spacing w:after="80" w:line="247" w:lineRule="auto"/>
            </w:pPr>
            <w:r w:rsidRPr="00FA4091">
              <w:t>Design and implement technology solutions for altered system</w:t>
            </w:r>
          </w:p>
          <w:p w14:paraId="256A5DD1" w14:textId="77777777" w:rsidR="00611757" w:rsidRPr="00FA4091" w:rsidRDefault="00611757" w:rsidP="00FA4091">
            <w:pPr>
              <w:pStyle w:val="Bullets"/>
              <w:spacing w:after="80" w:line="247" w:lineRule="auto"/>
            </w:pPr>
            <w:r w:rsidRPr="00FA4091">
              <w:t>Can assist with data collection and analysis</w:t>
            </w:r>
          </w:p>
        </w:tc>
      </w:tr>
      <w:tr w:rsidR="00611757" w:rsidRPr="00FA4091" w14:paraId="51071F98" w14:textId="77777777" w:rsidTr="0006591B">
        <w:tc>
          <w:tcPr>
            <w:tcW w:w="2263" w:type="dxa"/>
          </w:tcPr>
          <w:p w14:paraId="4FE6D5DA" w14:textId="77777777" w:rsidR="00611757" w:rsidRPr="00FA4091" w:rsidRDefault="00611757" w:rsidP="00FA4091">
            <w:pPr>
              <w:spacing w:before="80" w:after="80" w:line="247" w:lineRule="auto"/>
            </w:pPr>
            <w:r w:rsidRPr="00FA4091">
              <w:t>Other Community Leaders</w:t>
            </w:r>
          </w:p>
        </w:tc>
        <w:tc>
          <w:tcPr>
            <w:tcW w:w="7087" w:type="dxa"/>
          </w:tcPr>
          <w:p w14:paraId="65A6F4B8" w14:textId="77777777" w:rsidR="00611757" w:rsidRPr="00FA4091" w:rsidRDefault="00611757" w:rsidP="00FA4091">
            <w:pPr>
              <w:pStyle w:val="Bullets"/>
              <w:spacing w:after="80" w:line="247" w:lineRule="auto"/>
            </w:pPr>
            <w:r w:rsidRPr="00FA4091">
              <w:t>Other community leaders (e.g., United Way, Foundations, Think Tanks, etc.) should be engaged in strategy, contributions, and how they can support the mission of responding within the homelessness sector.</w:t>
            </w:r>
          </w:p>
        </w:tc>
      </w:tr>
    </w:tbl>
    <w:p w14:paraId="1953E183" w14:textId="77777777" w:rsidR="00611757" w:rsidRPr="00D079DE" w:rsidRDefault="00611757" w:rsidP="00611757"/>
    <w:sectPr w:rsidR="00611757" w:rsidRPr="00D079DE" w:rsidSect="006964E2">
      <w:headerReference w:type="default" r:id="rId16"/>
      <w:footerReference w:type="default" r:id="rId17"/>
      <w:headerReference w:type="first" r:id="rId18"/>
      <w:footerReference w:type="first" r:id="rId19"/>
      <w:type w:val="continuous"/>
      <w:pgSz w:w="12240" w:h="15840"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2077" w14:textId="77777777" w:rsidR="00256AF7" w:rsidRDefault="00256AF7" w:rsidP="0051111F">
      <w:r>
        <w:separator/>
      </w:r>
    </w:p>
  </w:endnote>
  <w:endnote w:type="continuationSeparator" w:id="0">
    <w:p w14:paraId="293E6F23" w14:textId="77777777" w:rsidR="00256AF7" w:rsidRDefault="00256AF7" w:rsidP="0051111F">
      <w:r>
        <w:continuationSeparator/>
      </w:r>
    </w:p>
  </w:endnote>
  <w:endnote w:type="continuationNotice" w:id="1">
    <w:p w14:paraId="6A73C14F" w14:textId="77777777" w:rsidR="00256AF7" w:rsidRDefault="00256AF7"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665360116"/>
      <w:docPartObj>
        <w:docPartGallery w:val="Page Numbers (Bottom of Page)"/>
        <w:docPartUnique/>
      </w:docPartObj>
    </w:sdtPr>
    <w:sdtContent>
      <w:p w14:paraId="36EB0B6B" w14:textId="77777777" w:rsidR="006964E2" w:rsidRDefault="006964E2" w:rsidP="0006591B">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7221DD70" w14:textId="77777777" w:rsidR="006964E2" w:rsidRDefault="006964E2" w:rsidP="0006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F008" w14:textId="77777777" w:rsidR="003450C3" w:rsidRPr="004468FA" w:rsidRDefault="003450C3" w:rsidP="003450C3">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A-10.</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D93E" w14:textId="77777777" w:rsidR="003450C3" w:rsidRPr="004468FA" w:rsidRDefault="003450C3" w:rsidP="003450C3">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A-10.</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FCE0" w14:textId="77777777" w:rsidR="00256AF7" w:rsidRDefault="00256AF7" w:rsidP="0051111F">
      <w:r>
        <w:separator/>
      </w:r>
    </w:p>
  </w:footnote>
  <w:footnote w:type="continuationSeparator" w:id="0">
    <w:p w14:paraId="7C5E3994" w14:textId="77777777" w:rsidR="00256AF7" w:rsidRDefault="00256AF7" w:rsidP="0051111F">
      <w:r>
        <w:continuationSeparator/>
      </w:r>
    </w:p>
  </w:footnote>
  <w:footnote w:type="continuationNotice" w:id="1">
    <w:p w14:paraId="6B9D6283" w14:textId="77777777" w:rsidR="00256AF7" w:rsidRDefault="00256AF7" w:rsidP="0051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8C15" w14:textId="3309BEEC" w:rsidR="003450C3" w:rsidRDefault="003450C3">
    <w:pPr>
      <w:pStyle w:val="Header"/>
    </w:pPr>
    <w:r>
      <w:rPr>
        <w:noProof/>
      </w:rPr>
      <w:drawing>
        <wp:anchor distT="0" distB="0" distL="114300" distR="114300" simplePos="0" relativeHeight="251666435" behindDoc="0" locked="0" layoutInCell="1" allowOverlap="1" wp14:anchorId="17EE2D8B" wp14:editId="4B657F07">
          <wp:simplePos x="0" y="0"/>
          <wp:positionH relativeFrom="margin">
            <wp:align>right</wp:align>
          </wp:positionH>
          <wp:positionV relativeFrom="page">
            <wp:posOffset>301625</wp:posOffset>
          </wp:positionV>
          <wp:extent cx="594360" cy="5120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11FA7"/>
    <w:rsid w:val="00012F58"/>
    <w:rsid w:val="00032149"/>
    <w:rsid w:val="0003704E"/>
    <w:rsid w:val="000424C4"/>
    <w:rsid w:val="00053114"/>
    <w:rsid w:val="0005774F"/>
    <w:rsid w:val="00057DB5"/>
    <w:rsid w:val="00061059"/>
    <w:rsid w:val="00064472"/>
    <w:rsid w:val="0006591B"/>
    <w:rsid w:val="00077819"/>
    <w:rsid w:val="00084C7B"/>
    <w:rsid w:val="0008624B"/>
    <w:rsid w:val="00091C38"/>
    <w:rsid w:val="00096B2C"/>
    <w:rsid w:val="000A3057"/>
    <w:rsid w:val="000B2044"/>
    <w:rsid w:val="000B3C18"/>
    <w:rsid w:val="000B440F"/>
    <w:rsid w:val="000B48F6"/>
    <w:rsid w:val="000B7956"/>
    <w:rsid w:val="000C1190"/>
    <w:rsid w:val="000C13E3"/>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104D"/>
    <w:rsid w:val="0019205B"/>
    <w:rsid w:val="001A467A"/>
    <w:rsid w:val="001A69D3"/>
    <w:rsid w:val="001A6AD7"/>
    <w:rsid w:val="001B1906"/>
    <w:rsid w:val="001C0B6E"/>
    <w:rsid w:val="001C12E1"/>
    <w:rsid w:val="001C20CB"/>
    <w:rsid w:val="001D1BE9"/>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0C3"/>
    <w:rsid w:val="00345C84"/>
    <w:rsid w:val="00354A20"/>
    <w:rsid w:val="00361CB1"/>
    <w:rsid w:val="00362186"/>
    <w:rsid w:val="0036364A"/>
    <w:rsid w:val="00363B32"/>
    <w:rsid w:val="0036640C"/>
    <w:rsid w:val="00373DAF"/>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4C3A"/>
    <w:rsid w:val="00525491"/>
    <w:rsid w:val="00530506"/>
    <w:rsid w:val="00532DD4"/>
    <w:rsid w:val="0053777C"/>
    <w:rsid w:val="00545165"/>
    <w:rsid w:val="00545F52"/>
    <w:rsid w:val="005464D4"/>
    <w:rsid w:val="005507A4"/>
    <w:rsid w:val="00551FE1"/>
    <w:rsid w:val="0055269C"/>
    <w:rsid w:val="005534C4"/>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4DFB"/>
    <w:rsid w:val="005C6DB1"/>
    <w:rsid w:val="005D3923"/>
    <w:rsid w:val="005D7532"/>
    <w:rsid w:val="005E2389"/>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297B"/>
    <w:rsid w:val="00675377"/>
    <w:rsid w:val="006901DA"/>
    <w:rsid w:val="006964E2"/>
    <w:rsid w:val="00696878"/>
    <w:rsid w:val="0069764E"/>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38DE"/>
    <w:rsid w:val="0073567D"/>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745E"/>
    <w:rsid w:val="00C32105"/>
    <w:rsid w:val="00C32130"/>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A5B73"/>
    <w:rsid w:val="00CA698B"/>
    <w:rsid w:val="00CB204D"/>
    <w:rsid w:val="00CC246E"/>
    <w:rsid w:val="00CC2C98"/>
    <w:rsid w:val="00CC5C82"/>
    <w:rsid w:val="00CC6018"/>
    <w:rsid w:val="00CC68F6"/>
    <w:rsid w:val="00CD348B"/>
    <w:rsid w:val="00CD3809"/>
    <w:rsid w:val="00CE10A6"/>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E1BD2"/>
    <w:rsid w:val="00EE2A8B"/>
    <w:rsid w:val="00EE57DC"/>
    <w:rsid w:val="00EF0C3F"/>
    <w:rsid w:val="00EF27D8"/>
    <w:rsid w:val="00EF53B3"/>
    <w:rsid w:val="00EF6448"/>
    <w:rsid w:val="00F01118"/>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nh3.ca/wp-content/uploads/CAEH-COVID-19-Meaningful-Activities-that-Respect-Social-Distancing.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nh3.ca/wp-content/uploads/CAEH-COVID-19-Requesting-Help-Local-PH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717F-CE47-4B46-A009-570CDEAF626F}">
  <ds:schemaRef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4ebe5f28-4db5-4aba-81dd-ff20caa6c2c5"/>
    <ds:schemaRef ds:uri="dafbecd6-5b90-4e30-a018-27bbbca06165"/>
    <ds:schemaRef ds:uri="http://purl.org/dc/terms/"/>
  </ds:schemaRefs>
</ds:datastoreItem>
</file>

<file path=customXml/itemProps2.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4.xml><?xml version="1.0" encoding="utf-8"?>
<ds:datastoreItem xmlns:ds="http://schemas.openxmlformats.org/officeDocument/2006/customXml" ds:itemID="{7F15DDA5-E083-4CDA-B1C3-3918E4BB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7738</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4</cp:revision>
  <cp:lastPrinted>2020-06-10T18:42:00Z</cp:lastPrinted>
  <dcterms:created xsi:type="dcterms:W3CDTF">2020-06-10T18:51:00Z</dcterms:created>
  <dcterms:modified xsi:type="dcterms:W3CDTF">2020-06-10T19:31:00Z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